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68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407"/>
        <w:gridCol w:w="599"/>
        <w:gridCol w:w="259"/>
        <w:gridCol w:w="575"/>
        <w:gridCol w:w="284"/>
        <w:gridCol w:w="283"/>
        <w:gridCol w:w="144"/>
        <w:gridCol w:w="1258"/>
        <w:gridCol w:w="583"/>
        <w:gridCol w:w="71"/>
        <w:gridCol w:w="96"/>
        <w:gridCol w:w="242"/>
        <w:gridCol w:w="42"/>
        <w:gridCol w:w="992"/>
        <w:gridCol w:w="425"/>
        <w:gridCol w:w="709"/>
        <w:gridCol w:w="15"/>
        <w:gridCol w:w="552"/>
        <w:gridCol w:w="709"/>
        <w:gridCol w:w="1659"/>
        <w:gridCol w:w="1659"/>
        <w:gridCol w:w="709"/>
        <w:gridCol w:w="950"/>
        <w:gridCol w:w="1659"/>
        <w:gridCol w:w="2803"/>
      </w:tblGrid>
      <w:tr w:rsidR="002D1D40" w:rsidRPr="008C3CA2" w:rsidTr="003843E7">
        <w:trPr>
          <w:gridAfter w:val="5"/>
          <w:wAfter w:w="7780" w:type="dxa"/>
          <w:trHeight w:val="334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8C3CA2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8C3CA2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8C3CA2">
              <w:rPr>
                <w:b/>
                <w:bCs/>
                <w:sz w:val="30"/>
                <w:szCs w:val="30"/>
              </w:rPr>
              <w:t xml:space="preserve"> </w:t>
            </w:r>
          </w:p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C3CA2">
              <w:rPr>
                <w:b/>
                <w:bCs/>
                <w:sz w:val="18"/>
                <w:szCs w:val="18"/>
              </w:rPr>
              <w:t xml:space="preserve">(A ser anexado ao Atestado de Credenciamento da Instituição Administradora e Gestora do Fundo de Investimento e atualizado </w:t>
            </w:r>
            <w:bookmarkStart w:id="0" w:name="_GoBack"/>
            <w:bookmarkEnd w:id="0"/>
            <w:r w:rsidRPr="008C3CA2">
              <w:rPr>
                <w:b/>
                <w:bCs/>
                <w:sz w:val="18"/>
                <w:szCs w:val="18"/>
              </w:rPr>
              <w:t>quando da alocação)</w:t>
            </w:r>
          </w:p>
        </w:tc>
      </w:tr>
      <w:tr w:rsidR="002D1D40" w:rsidRPr="008C3CA2" w:rsidTr="003843E7">
        <w:trPr>
          <w:gridAfter w:val="5"/>
          <w:wAfter w:w="7780" w:type="dxa"/>
          <w:trHeight w:val="141"/>
        </w:trPr>
        <w:tc>
          <w:tcPr>
            <w:tcW w:w="126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71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 </w:t>
            </w:r>
            <w:r w:rsidR="00717907" w:rsidRPr="00717907">
              <w:rPr>
                <w:sz w:val="21"/>
                <w:szCs w:val="21"/>
              </w:rPr>
              <w:t xml:space="preserve">SAFRA CARTEIRA PREMIUM </w:t>
            </w:r>
            <w:r w:rsidRPr="008C3CA2">
              <w:rPr>
                <w:sz w:val="21"/>
                <w:szCs w:val="21"/>
              </w:rPr>
              <w:t>FI MULTIMERCADO</w:t>
            </w:r>
          </w:p>
        </w:tc>
        <w:tc>
          <w:tcPr>
            <w:tcW w:w="236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</w:t>
            </w:r>
            <w:r w:rsidR="00010666" w:rsidRPr="00010666">
              <w:rPr>
                <w:sz w:val="21"/>
                <w:szCs w:val="21"/>
              </w:rPr>
              <w:t>17.253.869/0001-40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8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SAFRA SERVIÇOS DE ADMINISTRAÇÃO FIDUCIÁRIA LTDA.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06.947.853/0001-11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8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J. SAFRA S/A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Nº Termo </w:t>
            </w:r>
            <w:proofErr w:type="spellStart"/>
            <w:r w:rsidRPr="008C3CA2">
              <w:rPr>
                <w:sz w:val="21"/>
                <w:szCs w:val="21"/>
              </w:rPr>
              <w:t>Cred</w:t>
            </w:r>
            <w:proofErr w:type="spellEnd"/>
            <w:r w:rsidRPr="008C3CA2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CNPJ: 03.017.677/0001-20 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126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8C3CA2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7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BANCO SAFRA S/A</w:t>
            </w:r>
          </w:p>
        </w:tc>
        <w:tc>
          <w:tcPr>
            <w:tcW w:w="2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CNPJ: 58.160.789/0001-28</w:t>
            </w:r>
          </w:p>
        </w:tc>
      </w:tr>
      <w:tr w:rsidR="002D1D40" w:rsidRPr="008C3CA2" w:rsidTr="003843E7">
        <w:trPr>
          <w:gridAfter w:val="5"/>
          <w:wAfter w:w="7780" w:type="dxa"/>
          <w:trHeight w:val="56"/>
        </w:trPr>
        <w:tc>
          <w:tcPr>
            <w:tcW w:w="9904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8C3CA2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2D1D40" w:rsidRPr="008C3CA2" w:rsidTr="003843E7">
        <w:trPr>
          <w:gridAfter w:val="5"/>
          <w:wAfter w:w="7780" w:type="dxa"/>
          <w:trHeight w:val="28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2D1D40" w:rsidRPr="008C3CA2" w:rsidTr="005D669A">
        <w:trPr>
          <w:gridAfter w:val="5"/>
          <w:wAfter w:w="7780" w:type="dxa"/>
          <w:trHeight w:val="174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>Art. 7º, I, “b”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I,“b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51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I,“c</w:t>
            </w:r>
            <w:proofErr w:type="spellEnd"/>
            <w:r w:rsidRPr="008C3CA2">
              <w:t xml:space="preserve">” 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II,“a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68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II,“b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85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III,“b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3D4EFF" w:rsidDel="00391E1E" w:rsidRDefault="002D1D40" w:rsidP="003D4EF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III </w:t>
            </w:r>
          </w:p>
        </w:tc>
      </w:tr>
      <w:tr w:rsidR="002D1D40" w:rsidRPr="008C3CA2" w:rsidTr="005D669A">
        <w:trPr>
          <w:gridAfter w:val="5"/>
          <w:wAfter w:w="7780" w:type="dxa"/>
          <w:trHeight w:val="51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IV,“a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107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IV,“b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IV,“c</w:t>
            </w:r>
            <w:proofErr w:type="spellEnd"/>
            <w:r w:rsidRPr="008C3CA2">
              <w:t>”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VII,“b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7º, </w:t>
            </w:r>
            <w:proofErr w:type="spellStart"/>
            <w:r w:rsidRPr="008C3CA2">
              <w:t>VII,“c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2D1D40" w:rsidP="008C3CA2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>Art. 9º-A, II</w:t>
            </w:r>
          </w:p>
        </w:tc>
      </w:tr>
      <w:tr w:rsidR="002D1D40" w:rsidRPr="008C3CA2" w:rsidTr="005D669A">
        <w:trPr>
          <w:gridAfter w:val="5"/>
          <w:wAfter w:w="7780" w:type="dxa"/>
          <w:trHeight w:val="126"/>
        </w:trPr>
        <w:tc>
          <w:tcPr>
            <w:tcW w:w="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D40" w:rsidRPr="008C3CA2" w:rsidDel="00391E1E" w:rsidRDefault="002D1D40" w:rsidP="008C3CA2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3985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8C3CA2">
              <w:t xml:space="preserve">Art. 8º, </w:t>
            </w:r>
            <w:proofErr w:type="spellStart"/>
            <w:r w:rsidRPr="008C3CA2">
              <w:t>I,“a</w:t>
            </w:r>
            <w:proofErr w:type="spellEnd"/>
            <w:r w:rsidRPr="008C3CA2">
              <w:t>”</w:t>
            </w:r>
          </w:p>
        </w:tc>
        <w:tc>
          <w:tcPr>
            <w:tcW w:w="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1D40" w:rsidRPr="008C3CA2" w:rsidDel="00391E1E" w:rsidRDefault="005D669A" w:rsidP="005D669A">
            <w:pPr>
              <w:spacing w:after="0" w:line="240" w:lineRule="auto"/>
              <w:rPr>
                <w:sz w:val="18"/>
                <w:szCs w:val="18"/>
              </w:rPr>
            </w:pPr>
            <w:r w:rsidRPr="003D4EFF">
              <w:rPr>
                <w:b/>
              </w:rPr>
              <w:t>X</w:t>
            </w:r>
          </w:p>
        </w:tc>
        <w:tc>
          <w:tcPr>
            <w:tcW w:w="5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5D669A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8C3CA2">
              <w:t xml:space="preserve">Art. </w:t>
            </w:r>
            <w:r w:rsidR="005D669A">
              <w:t>10</w:t>
            </w:r>
            <w:r w:rsidRPr="008C3CA2">
              <w:t>º,I</w:t>
            </w:r>
          </w:p>
        </w:tc>
      </w:tr>
      <w:tr w:rsidR="002D1D40" w:rsidRPr="008C3CA2" w:rsidTr="003843E7">
        <w:trPr>
          <w:gridAfter w:val="5"/>
          <w:wAfter w:w="7780" w:type="dxa"/>
          <w:trHeight w:val="2872"/>
        </w:trPr>
        <w:tc>
          <w:tcPr>
            <w:tcW w:w="9904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2D1D40" w:rsidRPr="008C3CA2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3CA2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2D1D40" w:rsidRPr="008C3CA2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CA2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8C3CA2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2D1D40" w:rsidRPr="008C3CA2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D40" w:rsidRPr="008C3CA2" w:rsidRDefault="002D1D40" w:rsidP="008C3CA2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8C3CA2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1D40" w:rsidRPr="008C3CA2" w:rsidRDefault="002D1D40" w:rsidP="008C3CA2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2D1D40" w:rsidRPr="008C3CA2" w:rsidRDefault="002D1D40" w:rsidP="008C3CA2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18"/>
        </w:trPr>
        <w:tc>
          <w:tcPr>
            <w:tcW w:w="9904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8C3CA2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9A3652" w:rsidP="008C3CA2">
            <w:pPr>
              <w:tabs>
                <w:tab w:val="left" w:pos="2203"/>
              </w:tabs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 S</w:t>
            </w:r>
            <w:r w:rsidR="00DC5C40">
              <w:rPr>
                <w:sz w:val="21"/>
                <w:szCs w:val="21"/>
              </w:rPr>
              <w:t>/A</w:t>
            </w: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CPF/CNPJ: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58.160.789/0001-28</w:t>
            </w:r>
          </w:p>
        </w:tc>
      </w:tr>
      <w:tr w:rsidR="002D1D40" w:rsidRPr="008C3CA2" w:rsidTr="003843E7">
        <w:tblPrEx>
          <w:tblCellMar>
            <w:left w:w="108" w:type="dxa"/>
          </w:tblCellMar>
        </w:tblPrEx>
        <w:trPr>
          <w:gridAfter w:val="5"/>
          <w:wAfter w:w="7780" w:type="dxa"/>
          <w:trHeight w:val="309"/>
        </w:trPr>
        <w:tc>
          <w:tcPr>
            <w:tcW w:w="255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3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O Distribuidor do fundo é o próprio Banco Safra.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2D1D40" w:rsidRPr="008C3CA2" w:rsidTr="003843E7">
        <w:trPr>
          <w:gridAfter w:val="5"/>
          <w:wAfter w:w="7780" w:type="dxa"/>
          <w:trHeight w:val="240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t>Data de Constituição:</w:t>
            </w:r>
          </w:p>
        </w:tc>
        <w:tc>
          <w:tcPr>
            <w:tcW w:w="2056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2D1D40" w:rsidRPr="008C3CA2" w:rsidRDefault="00717907" w:rsidP="008C3CA2">
            <w:pPr>
              <w:spacing w:after="0" w:line="240" w:lineRule="auto"/>
              <w:jc w:val="center"/>
            </w:pPr>
            <w:r w:rsidRPr="00717907">
              <w:t>17/05/2013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t>Data de Início das Atividades:</w:t>
            </w:r>
          </w:p>
        </w:tc>
        <w:tc>
          <w:tcPr>
            <w:tcW w:w="2368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711C5D" w:rsidRDefault="00717907" w:rsidP="008C3CA2">
            <w:pPr>
              <w:spacing w:after="0" w:line="240" w:lineRule="auto"/>
              <w:rPr>
                <w:bCs/>
                <w:sz w:val="21"/>
                <w:szCs w:val="21"/>
              </w:rPr>
            </w:pPr>
            <w:r w:rsidRPr="00717907">
              <w:rPr>
                <w:bCs/>
                <w:sz w:val="21"/>
                <w:szCs w:val="21"/>
              </w:rPr>
              <w:t>17/05/2013</w:t>
            </w:r>
          </w:p>
        </w:tc>
      </w:tr>
      <w:tr w:rsidR="002D1D40" w:rsidRPr="008C3CA2" w:rsidTr="003843E7">
        <w:trPr>
          <w:gridAfter w:val="5"/>
          <w:wAfter w:w="7780" w:type="dxa"/>
          <w:trHeight w:val="156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Política de Investimentos do Fundo</w:t>
            </w:r>
          </w:p>
        </w:tc>
        <w:tc>
          <w:tcPr>
            <w:tcW w:w="7497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</w:pPr>
            <w:r w:rsidRPr="008C3CA2">
              <w:rPr>
                <w:sz w:val="21"/>
                <w:szCs w:val="21"/>
              </w:rPr>
              <w:t>Índice de referência/objetivo de rentabilidade: CDI</w:t>
            </w:r>
          </w:p>
        </w:tc>
      </w:tr>
      <w:tr w:rsidR="002D1D40" w:rsidRPr="008C3CA2" w:rsidTr="003843E7">
        <w:trPr>
          <w:gridAfter w:val="5"/>
          <w:wAfter w:w="7780" w:type="dxa"/>
          <w:trHeight w:val="156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17907" w:rsidRPr="00717907" w:rsidRDefault="00717907" w:rsidP="00717907">
            <w:pPr>
              <w:spacing w:after="0" w:line="240" w:lineRule="auto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 xml:space="preserve">O objetivo do Fundo é atuar no sentido de propiciar aos seus condôminos valorização de suas cotas mediante a aplicação de seus recursos em ativos financeiros e demais modalidades operacionais disponíveis no âmbito do mercado financeiro e de capitais. O Fundo está enquadrado, nos termos da legislação vigente, </w:t>
            </w:r>
            <w:r w:rsidRPr="00717907">
              <w:rPr>
                <w:sz w:val="21"/>
                <w:szCs w:val="21"/>
              </w:rPr>
              <w:lastRenderedPageBreak/>
              <w:t>como fundo de investimento multimercado e, por essa razão, não há necessidade de concentração em um fator de risco em especial.</w:t>
            </w:r>
          </w:p>
          <w:p w:rsidR="002D1D40" w:rsidRPr="008C3CA2" w:rsidRDefault="00717907" w:rsidP="00717907">
            <w:pPr>
              <w:spacing w:after="0" w:line="240" w:lineRule="auto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>O Fundo busca, no médio e longo prazo, uma rentabilidade ligeiramente superior ao CDI, através de aplicações em diferentes mercados. Sua carteira é composta preferencialmente por títulos públicos e privados e derivativos na modalidade com garantia. Emprega estratégia ativa na alocação de seus recursos, atuando nos mercados de juros, câmbio e bolsa. Utiliza derivativos apenas para posição. As operações em bolsa são realizadas através de índice futuro.</w:t>
            </w:r>
          </w:p>
        </w:tc>
      </w:tr>
      <w:tr w:rsidR="002D1D40" w:rsidRPr="008C3CA2" w:rsidTr="003843E7">
        <w:trPr>
          <w:gridAfter w:val="5"/>
          <w:wAfter w:w="7780" w:type="dxa"/>
          <w:trHeight w:val="156"/>
        </w:trPr>
        <w:tc>
          <w:tcPr>
            <w:tcW w:w="2407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Investidores em Geral</w:t>
            </w:r>
          </w:p>
        </w:tc>
      </w:tr>
      <w:tr w:rsidR="002D1D40" w:rsidRPr="008C3CA2" w:rsidTr="003843E7">
        <w:trPr>
          <w:gridAfter w:val="5"/>
          <w:wAfter w:w="7780" w:type="dxa"/>
          <w:trHeight w:val="183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368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71790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</w:t>
            </w:r>
            <w:r w:rsidR="00717907">
              <w:rPr>
                <w:sz w:val="20"/>
                <w:szCs w:val="20"/>
              </w:rPr>
              <w:t>0</w:t>
            </w:r>
          </w:p>
        </w:tc>
      </w:tr>
      <w:tr w:rsidR="002D1D40" w:rsidRPr="008C3CA2" w:rsidTr="003843E7">
        <w:trPr>
          <w:gridAfter w:val="5"/>
          <w:wAfter w:w="7780" w:type="dxa"/>
          <w:trHeight w:val="180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71790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</w:t>
            </w:r>
            <w:r w:rsidR="00717907">
              <w:rPr>
                <w:sz w:val="20"/>
                <w:szCs w:val="20"/>
              </w:rPr>
              <w:t>1</w:t>
            </w:r>
          </w:p>
        </w:tc>
      </w:tr>
      <w:tr w:rsidR="002D1D40" w:rsidRPr="008C3CA2" w:rsidTr="003843E7">
        <w:trPr>
          <w:gridAfter w:val="5"/>
          <w:wAfter w:w="7780" w:type="dxa"/>
          <w:trHeight w:val="47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1"/>
                <w:szCs w:val="21"/>
              </w:rPr>
              <w:t>Prazo Total (dias)</w:t>
            </w:r>
          </w:p>
        </w:tc>
        <w:tc>
          <w:tcPr>
            <w:tcW w:w="2368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2D1D40" w:rsidRPr="008C3CA2" w:rsidRDefault="002D1D40" w:rsidP="0071790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D+</w:t>
            </w:r>
            <w:r w:rsidR="00717907">
              <w:rPr>
                <w:sz w:val="20"/>
                <w:szCs w:val="20"/>
              </w:rPr>
              <w:t>1</w:t>
            </w:r>
          </w:p>
        </w:tc>
      </w:tr>
      <w:tr w:rsidR="002D1D40" w:rsidRPr="008C3CA2" w:rsidTr="003843E7">
        <w:trPr>
          <w:gridAfter w:val="5"/>
          <w:wAfter w:w="7780" w:type="dxa"/>
          <w:trHeight w:val="174"/>
        </w:trPr>
        <w:tc>
          <w:tcPr>
            <w:tcW w:w="2407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9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entrada (%)</w:t>
            </w:r>
          </w:p>
        </w:tc>
        <w:tc>
          <w:tcPr>
            <w:tcW w:w="2368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saída (%)</w:t>
            </w:r>
          </w:p>
        </w:tc>
        <w:tc>
          <w:tcPr>
            <w:tcW w:w="2368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172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9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368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71790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  <w:r w:rsidR="002D1D40" w:rsidRPr="008C3CA2">
              <w:rPr>
                <w:sz w:val="20"/>
                <w:szCs w:val="20"/>
              </w:rPr>
              <w:t>%</w:t>
            </w:r>
          </w:p>
        </w:tc>
      </w:tr>
      <w:tr w:rsidR="002D1D40" w:rsidRPr="008C3CA2" w:rsidTr="003843E7">
        <w:trPr>
          <w:gridAfter w:val="5"/>
          <w:wAfter w:w="7780" w:type="dxa"/>
          <w:trHeight w:val="4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497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Taxa de Performance</w:t>
            </w:r>
          </w:p>
        </w:tc>
      </w:tr>
      <w:tr w:rsidR="002D1D40" w:rsidRPr="008C3CA2" w:rsidTr="003843E7">
        <w:trPr>
          <w:gridAfter w:val="5"/>
          <w:wAfter w:w="7780" w:type="dxa"/>
          <w:trHeight w:val="171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2" w:type="dxa"/>
            <w:gridSpan w:val="8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Frequência</w:t>
            </w:r>
          </w:p>
        </w:tc>
        <w:tc>
          <w:tcPr>
            <w:tcW w:w="2920" w:type="dxa"/>
            <w:gridSpan w:val="3"/>
            <w:tcBorders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Linha-d`água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592" w:type="dxa"/>
            <w:gridSpan w:val="8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292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497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497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Asset Management, para: Banco J Safra.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2D1D40" w:rsidRPr="008C3CA2" w:rsidTr="003843E7">
        <w:trPr>
          <w:gridAfter w:val="5"/>
          <w:wAfter w:w="7780" w:type="dxa"/>
          <w:trHeight w:val="269"/>
        </w:trPr>
        <w:tc>
          <w:tcPr>
            <w:tcW w:w="2407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rPr>
                <w:sz w:val="21"/>
                <w:szCs w:val="21"/>
              </w:rPr>
            </w:pPr>
            <w:r w:rsidRPr="008C3CA2">
              <w:rPr>
                <w:sz w:val="21"/>
                <w:szCs w:val="21"/>
              </w:rPr>
              <w:lastRenderedPageBreak/>
              <w:t>Principais riscos associados ao Fundo:</w:t>
            </w:r>
          </w:p>
        </w:tc>
        <w:tc>
          <w:tcPr>
            <w:tcW w:w="7497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t>1) Mercado  2) Derivativo</w:t>
            </w:r>
            <w:r w:rsidR="0076253E">
              <w:t>s para Posição</w:t>
            </w:r>
            <w:r w:rsidRPr="008C3CA2">
              <w:t xml:space="preserve"> 3) Liquidez 4) Crédito 5) Tratamento </w:t>
            </w:r>
            <w:proofErr w:type="spellStart"/>
            <w:r w:rsidRPr="008C3CA2">
              <w:t>Tributario</w:t>
            </w:r>
            <w:proofErr w:type="spellEnd"/>
            <w:r w:rsidRPr="008C3CA2">
              <w:t xml:space="preserve"> 6) Legal</w:t>
            </w:r>
          </w:p>
        </w:tc>
      </w:tr>
      <w:tr w:rsidR="002D1D40" w:rsidRPr="008C3CA2" w:rsidTr="003843E7">
        <w:trPr>
          <w:gridAfter w:val="5"/>
          <w:wAfter w:w="7780" w:type="dxa"/>
          <w:trHeight w:val="14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D1D40" w:rsidRPr="008C3CA2" w:rsidRDefault="002D1D40" w:rsidP="008C3CA2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2D1D40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822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1969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Patrimônio Líquido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75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Valor da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Cota do Fundo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Rentabilidade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935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8C3CA2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2D1D40" w:rsidRPr="008C3CA2" w:rsidRDefault="002D1D40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76253E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6253E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76253E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462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>394.393.069,60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205,82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2,61%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6253E" w:rsidRPr="008C3CA2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4,40%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6253E" w:rsidRPr="001C654C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59,97%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3843E7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882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>886.261.045,44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200,58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3,08%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2,77%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Pr="001C654C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111,00%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461605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1302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>1.477.358.397,29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194,60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6,46%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5,97%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Default="00717907" w:rsidP="00717907">
            <w:pPr>
              <w:spacing w:after="0" w:line="240" w:lineRule="auto"/>
              <w:ind w:left="-108" w:right="-108"/>
              <w:jc w:val="center"/>
            </w:pPr>
            <w:r>
              <w:t>107,93%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461605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1835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>2.020.509.293,41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182,79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5,83%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6,42%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91,05%</w:t>
            </w:r>
          </w:p>
        </w:tc>
      </w:tr>
      <w:tr w:rsidR="00461605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2"/>
        </w:trPr>
        <w:tc>
          <w:tcPr>
            <w:tcW w:w="100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461605" w:rsidRPr="008C3CA2" w:rsidRDefault="00461605" w:rsidP="006C5F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  <w:vAlign w:val="center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1448</w:t>
            </w:r>
          </w:p>
        </w:tc>
        <w:tc>
          <w:tcPr>
            <w:tcW w:w="196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717907">
              <w:rPr>
                <w:sz w:val="21"/>
                <w:szCs w:val="21"/>
              </w:rPr>
              <w:t>1.574.851.114,08</w:t>
            </w:r>
          </w:p>
        </w:tc>
        <w:tc>
          <w:tcPr>
            <w:tcW w:w="75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172,72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11,06%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9,95%</w:t>
            </w:r>
          </w:p>
        </w:tc>
        <w:tc>
          <w:tcPr>
            <w:tcW w:w="2935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461605" w:rsidRPr="008C3CA2" w:rsidRDefault="00717907" w:rsidP="0071790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110,59%</w:t>
            </w:r>
          </w:p>
        </w:tc>
      </w:tr>
      <w:tr w:rsidR="003843E7" w:rsidRPr="008C3CA2" w:rsidTr="003843E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38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  <w:r w:rsidRPr="008C3CA2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3843E7" w:rsidRPr="008C3CA2" w:rsidTr="003843E7">
        <w:trPr>
          <w:gridAfter w:val="2"/>
          <w:wAfter w:w="4462" w:type="dxa"/>
          <w:trHeight w:val="65"/>
        </w:trPr>
        <w:tc>
          <w:tcPr>
            <w:tcW w:w="9904" w:type="dxa"/>
            <w:gridSpan w:val="20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165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659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3843E7" w:rsidRPr="008C3CA2" w:rsidTr="003843E7">
        <w:trPr>
          <w:gridAfter w:val="5"/>
          <w:wAfter w:w="7780" w:type="dxa"/>
          <w:trHeight w:val="241"/>
        </w:trPr>
        <w:tc>
          <w:tcPr>
            <w:tcW w:w="1840" w:type="dxa"/>
            <w:gridSpan w:val="4"/>
            <w:vMerge w:val="restart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Composição da carteira (atual)</w:t>
            </w:r>
          </w:p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010666" w:rsidRDefault="00010666" w:rsidP="00010666">
            <w:pPr>
              <w:pStyle w:val="Default"/>
              <w:jc w:val="center"/>
            </w:pPr>
            <w:r>
              <w:rPr>
                <w:sz w:val="22"/>
                <w:szCs w:val="22"/>
              </w:rPr>
              <w:t xml:space="preserve">Sua carteira é composta preferencialmente por títulos públicos e privados e derivativos na modalidade com garantia. Emprega estratégia ativa na alocação de seus recursos, atuando nos mercados de juros, câmbio e bolsa. Utiliza derivativos apenas para posição. As operações em bolsa são realizadas através de índice futuro. </w:t>
            </w:r>
          </w:p>
          <w:p w:rsidR="003843E7" w:rsidRPr="008C3CA2" w:rsidRDefault="003843E7" w:rsidP="008C3CA2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45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5" w:type="dxa"/>
            <w:gridSpan w:val="15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1"/>
          <w:wAfter w:w="2803" w:type="dxa"/>
          <w:trHeight w:val="145"/>
        </w:trPr>
        <w:tc>
          <w:tcPr>
            <w:tcW w:w="9904" w:type="dxa"/>
            <w:gridSpan w:val="20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  <w:r w:rsidRPr="008C3CA2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16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3843E7" w:rsidRPr="008C3CA2" w:rsidTr="003843E7">
        <w:trPr>
          <w:gridAfter w:val="5"/>
          <w:wAfter w:w="7780" w:type="dxa"/>
          <w:trHeight w:val="244"/>
        </w:trPr>
        <w:tc>
          <w:tcPr>
            <w:tcW w:w="1840" w:type="dxa"/>
            <w:gridSpan w:val="4"/>
            <w:vMerge w:val="restar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pStyle w:val="PargrafodaLista"/>
              <w:numPr>
                <w:ilvl w:val="0"/>
                <w:numId w:val="24"/>
              </w:num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2.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69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3.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23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.....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23"/>
        </w:trPr>
        <w:tc>
          <w:tcPr>
            <w:tcW w:w="1840" w:type="dxa"/>
            <w:gridSpan w:val="4"/>
            <w:vMerge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Emissor (CPF/CNPJ)</w:t>
            </w:r>
          </w:p>
        </w:tc>
        <w:tc>
          <w:tcPr>
            <w:tcW w:w="3853" w:type="dxa"/>
            <w:gridSpan w:val="10"/>
            <w:tcBorders>
              <w:top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Tipo de Emissor</w:t>
            </w:r>
          </w:p>
        </w:tc>
        <w:tc>
          <w:tcPr>
            <w:tcW w:w="165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% do PL</w:t>
            </w:r>
          </w:p>
        </w:tc>
      </w:tr>
      <w:tr w:rsidR="003843E7" w:rsidRPr="008C3CA2" w:rsidTr="003843E7">
        <w:trPr>
          <w:gridAfter w:val="5"/>
          <w:wAfter w:w="7780" w:type="dxa"/>
          <w:trHeight w:val="64"/>
        </w:trPr>
        <w:tc>
          <w:tcPr>
            <w:tcW w:w="1840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  <w:p w:rsidR="003843E7" w:rsidRPr="008C3CA2" w:rsidRDefault="003843E7" w:rsidP="008C3C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116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47"/>
        </w:trPr>
        <w:tc>
          <w:tcPr>
            <w:tcW w:w="1840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3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87"/>
        </w:trPr>
        <w:tc>
          <w:tcPr>
            <w:tcW w:w="1840" w:type="dxa"/>
            <w:gridSpan w:val="4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Sim</w:t>
            </w:r>
          </w:p>
        </w:tc>
        <w:tc>
          <w:tcPr>
            <w:tcW w:w="3853" w:type="dxa"/>
            <w:gridSpan w:val="10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5"/>
        </w:trPr>
        <w:tc>
          <w:tcPr>
            <w:tcW w:w="4392" w:type="dxa"/>
            <w:gridSpan w:val="9"/>
            <w:tcBorders>
              <w:right w:val="sing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5512" w:type="dxa"/>
            <w:gridSpan w:val="11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3843E7" w:rsidRPr="008C3CA2" w:rsidTr="003843E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5"/>
          <w:wAfter w:w="7780" w:type="dxa"/>
          <w:trHeight w:val="145"/>
        </w:trPr>
        <w:tc>
          <w:tcPr>
            <w:tcW w:w="6260" w:type="dxa"/>
            <w:gridSpan w:val="1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3644" w:type="dxa"/>
            <w:gridSpan w:val="5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gridAfter w:val="3"/>
          <w:wAfter w:w="5412" w:type="dxa"/>
          <w:trHeight w:val="145"/>
        </w:trPr>
        <w:tc>
          <w:tcPr>
            <w:tcW w:w="439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512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>
            <w:pPr>
              <w:spacing w:after="0" w:line="240" w:lineRule="auto"/>
            </w:pPr>
            <w:r w:rsidRPr="008C3CA2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lastRenderedPageBreak/>
              <w:t>Nota de Risco de Crédito</w:t>
            </w:r>
          </w:p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2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2" w:type="dxa"/>
            <w:gridSpan w:val="13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trHeight w:val="80"/>
        </w:trPr>
        <w:tc>
          <w:tcPr>
            <w:tcW w:w="9904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  <w:r w:rsidRPr="008C3CA2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8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>
            <w:pPr>
              <w:spacing w:after="0" w:line="240" w:lineRule="auto"/>
            </w:pP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78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43E7" w:rsidRPr="008C3CA2" w:rsidTr="003843E7">
        <w:trPr>
          <w:gridAfter w:val="5"/>
          <w:wAfter w:w="7780" w:type="dxa"/>
          <w:trHeight w:val="80"/>
        </w:trPr>
        <w:tc>
          <w:tcPr>
            <w:tcW w:w="212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43E7" w:rsidRPr="008C3CA2" w:rsidRDefault="003843E7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80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3843E7" w:rsidRPr="008C3CA2" w:rsidRDefault="003843E7" w:rsidP="008C3CA2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2D1D40" w:rsidRDefault="002D1D40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2D1D40" w:rsidRPr="008C3CA2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8C3CA2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3CA2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2D1D40" w:rsidRPr="008C3CA2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D1D40" w:rsidRPr="008C3CA2" w:rsidRDefault="002D1D40" w:rsidP="008C3CA2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2D1D40" w:rsidRPr="008C3CA2" w:rsidRDefault="002D1D40" w:rsidP="008C3CA2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2D1D40" w:rsidRDefault="002D1D40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2D1D40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40" w:rsidRDefault="002D1D40" w:rsidP="003764B6">
      <w:pPr>
        <w:spacing w:after="0" w:line="240" w:lineRule="auto"/>
      </w:pPr>
      <w:r>
        <w:separator/>
      </w:r>
    </w:p>
  </w:endnote>
  <w:end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40" w:rsidRDefault="002D1D40" w:rsidP="003764B6">
      <w:pPr>
        <w:spacing w:after="0" w:line="240" w:lineRule="auto"/>
      </w:pPr>
      <w:r>
        <w:separator/>
      </w:r>
    </w:p>
  </w:footnote>
  <w:footnote w:type="continuationSeparator" w:id="0">
    <w:p w:rsidR="002D1D40" w:rsidRDefault="002D1D40" w:rsidP="003764B6">
      <w:pPr>
        <w:spacing w:after="0" w:line="240" w:lineRule="auto"/>
      </w:pPr>
      <w:r>
        <w:continuationSeparator/>
      </w:r>
    </w:p>
  </w:footnote>
  <w:footnote w:id="1">
    <w:p w:rsidR="002D1D40" w:rsidRDefault="002D1D40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40" w:rsidRDefault="002D1D40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31B1E"/>
    <w:multiLevelType w:val="hybridMultilevel"/>
    <w:tmpl w:val="0A6E5B78"/>
    <w:lvl w:ilvl="0" w:tplc="F37445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972" w:hanging="360"/>
      </w:pPr>
    </w:lvl>
    <w:lvl w:ilvl="2" w:tplc="0416001B">
      <w:start w:val="1"/>
      <w:numFmt w:val="lowerRoman"/>
      <w:lvlText w:val="%3."/>
      <w:lvlJc w:val="right"/>
      <w:pPr>
        <w:ind w:left="1692" w:hanging="180"/>
      </w:pPr>
    </w:lvl>
    <w:lvl w:ilvl="3" w:tplc="0416000F">
      <w:start w:val="1"/>
      <w:numFmt w:val="decimal"/>
      <w:lvlText w:val="%4."/>
      <w:lvlJc w:val="left"/>
      <w:pPr>
        <w:ind w:left="2412" w:hanging="360"/>
      </w:pPr>
    </w:lvl>
    <w:lvl w:ilvl="4" w:tplc="04160019">
      <w:start w:val="1"/>
      <w:numFmt w:val="lowerLetter"/>
      <w:lvlText w:val="%5."/>
      <w:lvlJc w:val="left"/>
      <w:pPr>
        <w:ind w:left="3132" w:hanging="360"/>
      </w:pPr>
    </w:lvl>
    <w:lvl w:ilvl="5" w:tplc="0416001B">
      <w:start w:val="1"/>
      <w:numFmt w:val="lowerRoman"/>
      <w:lvlText w:val="%6."/>
      <w:lvlJc w:val="right"/>
      <w:pPr>
        <w:ind w:left="3852" w:hanging="180"/>
      </w:pPr>
    </w:lvl>
    <w:lvl w:ilvl="6" w:tplc="0416000F">
      <w:start w:val="1"/>
      <w:numFmt w:val="decimal"/>
      <w:lvlText w:val="%7."/>
      <w:lvlJc w:val="left"/>
      <w:pPr>
        <w:ind w:left="4572" w:hanging="360"/>
      </w:pPr>
    </w:lvl>
    <w:lvl w:ilvl="7" w:tplc="04160019">
      <w:start w:val="1"/>
      <w:numFmt w:val="lowerLetter"/>
      <w:lvlText w:val="%8."/>
      <w:lvlJc w:val="left"/>
      <w:pPr>
        <w:ind w:left="5292" w:hanging="360"/>
      </w:pPr>
    </w:lvl>
    <w:lvl w:ilvl="8" w:tplc="0416001B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3"/>
  </w:num>
  <w:num w:numId="3">
    <w:abstractNumId w:val="8"/>
  </w:num>
  <w:num w:numId="4">
    <w:abstractNumId w:val="21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2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380"/>
    <w:rsid w:val="000023C1"/>
    <w:rsid w:val="00002824"/>
    <w:rsid w:val="00007872"/>
    <w:rsid w:val="00010666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07FC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48B9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080D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D6D1F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041A"/>
    <w:rsid w:val="002B1D33"/>
    <w:rsid w:val="002C0954"/>
    <w:rsid w:val="002C1265"/>
    <w:rsid w:val="002C4A1F"/>
    <w:rsid w:val="002D060C"/>
    <w:rsid w:val="002D1D40"/>
    <w:rsid w:val="002E5D01"/>
    <w:rsid w:val="002E5E68"/>
    <w:rsid w:val="002E70AF"/>
    <w:rsid w:val="002F392F"/>
    <w:rsid w:val="002F731D"/>
    <w:rsid w:val="00301A27"/>
    <w:rsid w:val="00301F9C"/>
    <w:rsid w:val="00305B45"/>
    <w:rsid w:val="003065B7"/>
    <w:rsid w:val="0030667E"/>
    <w:rsid w:val="00311FE5"/>
    <w:rsid w:val="0031391D"/>
    <w:rsid w:val="003161FF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43E7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4EFF"/>
    <w:rsid w:val="003D63C8"/>
    <w:rsid w:val="003D6E26"/>
    <w:rsid w:val="003E6B9C"/>
    <w:rsid w:val="003F2722"/>
    <w:rsid w:val="003F3399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605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1896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669A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11C5D"/>
    <w:rsid w:val="00717907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6253E"/>
    <w:rsid w:val="0076325E"/>
    <w:rsid w:val="00766B11"/>
    <w:rsid w:val="00767720"/>
    <w:rsid w:val="00776077"/>
    <w:rsid w:val="00784466"/>
    <w:rsid w:val="007918F2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4AD2"/>
    <w:rsid w:val="00884B11"/>
    <w:rsid w:val="00884BC3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3CA2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633A0"/>
    <w:rsid w:val="009740F4"/>
    <w:rsid w:val="009758D3"/>
    <w:rsid w:val="00982D75"/>
    <w:rsid w:val="00984D66"/>
    <w:rsid w:val="00985BAE"/>
    <w:rsid w:val="009953AF"/>
    <w:rsid w:val="00995B97"/>
    <w:rsid w:val="00996F57"/>
    <w:rsid w:val="009A3652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C5C40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16D1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1079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  </vt:lpstr>
    </vt:vector>
  </TitlesOfParts>
  <Company>Banco Safra S/A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12</cp:revision>
  <cp:lastPrinted>2022-02-14T17:11:00Z</cp:lastPrinted>
  <dcterms:created xsi:type="dcterms:W3CDTF">2020-07-02T19:41:00Z</dcterms:created>
  <dcterms:modified xsi:type="dcterms:W3CDTF">2022-06-29T18:02:00Z</dcterms:modified>
</cp:coreProperties>
</file>