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7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42"/>
        <w:gridCol w:w="470"/>
        <w:gridCol w:w="992"/>
        <w:gridCol w:w="183"/>
        <w:gridCol w:w="724"/>
        <w:gridCol w:w="369"/>
        <w:gridCol w:w="183"/>
        <w:gridCol w:w="709"/>
        <w:gridCol w:w="1394"/>
      </w:tblGrid>
      <w:tr w:rsidR="00513E95" w:rsidRPr="003D6317" w:rsidTr="00A02126">
        <w:trPr>
          <w:trHeight w:val="334"/>
        </w:trPr>
        <w:tc>
          <w:tcPr>
            <w:tcW w:w="9867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 w:rsidTr="00A02126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498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E17571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E17571">
              <w:rPr>
                <w:sz w:val="21"/>
                <w:szCs w:val="21"/>
              </w:rPr>
              <w:t>SAFRA CONS</w:t>
            </w:r>
            <w:r>
              <w:rPr>
                <w:sz w:val="21"/>
                <w:szCs w:val="21"/>
              </w:rPr>
              <w:t>UMO</w:t>
            </w:r>
            <w:r w:rsidRPr="00E17571">
              <w:rPr>
                <w:sz w:val="21"/>
                <w:szCs w:val="21"/>
              </w:rPr>
              <w:t xml:space="preserve"> AMERICANO PB FI ACOES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E17571" w:rsidRPr="00E17571">
              <w:t>19.436.818/0001-80</w:t>
            </w:r>
          </w:p>
        </w:tc>
      </w:tr>
      <w:tr w:rsidR="00513E95" w:rsidRPr="003D6317" w:rsidTr="00A0212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64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 w:rsidTr="00A0212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645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 w:rsidTr="00A02126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49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 w:rsidTr="00A02126">
        <w:trPr>
          <w:trHeight w:val="56"/>
        </w:trPr>
        <w:tc>
          <w:tcPr>
            <w:tcW w:w="9867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 w:rsidTr="00A02126">
        <w:trPr>
          <w:trHeight w:val="288"/>
        </w:trPr>
        <w:tc>
          <w:tcPr>
            <w:tcW w:w="9867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A02126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A02126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II,“a</w:t>
            </w:r>
            <w:proofErr w:type="spellEnd"/>
            <w:r w:rsidRPr="003D6317">
              <w:t>”</w:t>
            </w:r>
          </w:p>
        </w:tc>
      </w:tr>
      <w:tr w:rsidR="00513E95" w:rsidRPr="003D6317" w:rsidTr="00A02126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proofErr w:type="spellEnd"/>
            <w:r w:rsidRPr="003D6317">
              <w:t>”</w:t>
            </w:r>
          </w:p>
        </w:tc>
      </w:tr>
      <w:tr w:rsidR="00513E95" w:rsidRPr="003D6317" w:rsidTr="00A02126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A02126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A02126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A0212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A0212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A0212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A02126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02126" w:rsidDel="00391E1E" w:rsidRDefault="00A02126" w:rsidP="00A0212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02126">
              <w:rPr>
                <w:b/>
              </w:rPr>
              <w:t>X</w:t>
            </w:r>
          </w:p>
        </w:tc>
        <w:tc>
          <w:tcPr>
            <w:tcW w:w="506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 w:rsidTr="00A02126">
        <w:trPr>
          <w:trHeight w:val="2872"/>
        </w:trPr>
        <w:tc>
          <w:tcPr>
            <w:tcW w:w="9867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 w:rsidTr="00A02126">
        <w:tblPrEx>
          <w:tblCellMar>
            <w:left w:w="108" w:type="dxa"/>
          </w:tblCellMar>
        </w:tblPrEx>
        <w:trPr>
          <w:trHeight w:val="318"/>
        </w:trPr>
        <w:tc>
          <w:tcPr>
            <w:tcW w:w="9867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 w:rsidTr="00A02126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1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 w:rsidTr="00A02126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31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 w:rsidTr="00A02126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1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 w:rsidTr="00A02126">
        <w:trPr>
          <w:trHeight w:val="148"/>
        </w:trPr>
        <w:tc>
          <w:tcPr>
            <w:tcW w:w="9867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 w:rsidTr="00A02126">
        <w:trPr>
          <w:trHeight w:val="148"/>
        </w:trPr>
        <w:tc>
          <w:tcPr>
            <w:tcW w:w="9867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 w:rsidTr="00A02126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E17571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E17571">
              <w:rPr>
                <w:sz w:val="22"/>
                <w:szCs w:val="22"/>
              </w:rPr>
              <w:t>17/01/2014</w:t>
            </w:r>
          </w:p>
        </w:tc>
        <w:tc>
          <w:tcPr>
            <w:tcW w:w="3301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E17571" w:rsidP="00D0036D">
            <w:pPr>
              <w:pStyle w:val="Default"/>
              <w:jc w:val="center"/>
              <w:rPr>
                <w:sz w:val="22"/>
                <w:szCs w:val="22"/>
              </w:rPr>
            </w:pPr>
            <w:r w:rsidRPr="00E17571">
              <w:t>31/01/2014</w:t>
            </w:r>
          </w:p>
        </w:tc>
      </w:tr>
      <w:tr w:rsidR="007442F6" w:rsidRPr="003D6317" w:rsidTr="00A02126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459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 w:rsidTr="00A02126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459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E17571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t xml:space="preserve">O objetivo do FUNDO é atuar no sentido de propiciar aos seus condôminos valorização de suas cotas mediante a aplicação de seus recursos, preponderantemente, em ativos de renda variável, notadamente em certificados de depósitos de valores mobiliários </w:t>
            </w:r>
            <w:proofErr w:type="spellStart"/>
            <w:r>
              <w:t>BDRs</w:t>
            </w:r>
            <w:proofErr w:type="spellEnd"/>
            <w:r>
              <w:t xml:space="preserve"> Nível 1, do setor de consumo.</w:t>
            </w:r>
          </w:p>
        </w:tc>
      </w:tr>
      <w:tr w:rsidR="007442F6" w:rsidRPr="003D6317" w:rsidTr="00A02126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459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 w:rsidTr="00A02126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356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 w:rsidTr="00A0212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56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A0212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56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E1757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17571">
              <w:rPr>
                <w:sz w:val="20"/>
                <w:szCs w:val="20"/>
              </w:rPr>
              <w:t>1</w:t>
            </w:r>
          </w:p>
        </w:tc>
      </w:tr>
      <w:tr w:rsidR="007442F6" w:rsidRPr="003D6317" w:rsidTr="00A02126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56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E1757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17571">
              <w:rPr>
                <w:sz w:val="20"/>
                <w:szCs w:val="20"/>
              </w:rPr>
              <w:t>4</w:t>
            </w:r>
          </w:p>
        </w:tc>
      </w:tr>
      <w:tr w:rsidR="007442F6" w:rsidRPr="003D6317" w:rsidTr="00A02126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56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 w:rsidTr="00A02126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356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A02126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356" w:type="dxa"/>
            <w:gridSpan w:val="12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A02126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356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E17571" w:rsidP="00E1757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17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CB179D">
              <w:rPr>
                <w:sz w:val="20"/>
                <w:szCs w:val="20"/>
              </w:rPr>
              <w:t>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 w:rsidTr="00A02126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459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  <w:r w:rsidR="00A24859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 w:rsidTr="00A02126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819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 w:rsidTr="00A02126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E17571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819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E17571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E17571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7442F6" w:rsidRPr="003D6317" w:rsidTr="00A02126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459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 w:rsidTr="00A02126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459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 w:rsidTr="00A0212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459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 w:rsidTr="00A0212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459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 w:rsidTr="00A02126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459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17571" w:rsidRDefault="00F032F0" w:rsidP="00E17571">
            <w:pPr>
              <w:spacing w:after="0" w:line="240" w:lineRule="auto"/>
              <w:ind w:left="-108" w:right="-108"/>
              <w:jc w:val="center"/>
            </w:pPr>
            <w:r>
              <w:t>1) Mercado (Externo)</w:t>
            </w:r>
            <w:r w:rsidR="007442F6" w:rsidRPr="003D6317">
              <w:t xml:space="preserve"> 2) </w:t>
            </w:r>
            <w:r>
              <w:t>Derivativos Para Posição</w:t>
            </w:r>
            <w:r w:rsidRPr="003D6317">
              <w:t xml:space="preserve"> </w:t>
            </w:r>
            <w:r w:rsidR="007442F6" w:rsidRPr="003D6317">
              <w:t xml:space="preserve">3) Crédito </w:t>
            </w:r>
            <w:r w:rsidR="003F3CA6">
              <w:t>4</w:t>
            </w:r>
            <w:r w:rsidR="007442F6" w:rsidRPr="003D6317">
              <w:t>)</w:t>
            </w:r>
            <w:r w:rsidR="00306845">
              <w:t xml:space="preserve"> </w:t>
            </w:r>
            <w:r w:rsidRPr="003D6317">
              <w:t>Liquidez</w:t>
            </w:r>
            <w:r>
              <w:t xml:space="preserve"> </w:t>
            </w:r>
            <w:r w:rsidR="00306845">
              <w:t xml:space="preserve">5) </w:t>
            </w:r>
            <w:r w:rsidR="00E17571">
              <w:t>Divergência de Padrões Contábeis, Legais, Fiscais e de Divulgação de</w:t>
            </w:r>
          </w:p>
          <w:p w:rsidR="007442F6" w:rsidRPr="003D6317" w:rsidRDefault="00E17571" w:rsidP="00E17571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t>Informações sobre as Empresas Lastro dos Programas de BDR NÍVEL 1 6) Legal</w:t>
            </w:r>
          </w:p>
        </w:tc>
      </w:tr>
      <w:tr w:rsidR="007442F6" w:rsidRPr="003D6317" w:rsidTr="00A02126">
        <w:trPr>
          <w:trHeight w:val="148"/>
        </w:trPr>
        <w:tc>
          <w:tcPr>
            <w:tcW w:w="9867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lastRenderedPageBreak/>
              <w:t>Histórico de Rentabilidade do Fundo</w:t>
            </w:r>
          </w:p>
        </w:tc>
      </w:tr>
      <w:tr w:rsidR="007442F6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362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9121FA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9121FA" w:rsidRPr="003D6317" w:rsidRDefault="00880E75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9121FA" w:rsidRPr="009121FA" w:rsidRDefault="004F5339" w:rsidP="00880E75">
            <w:pPr>
              <w:spacing w:after="0" w:line="240" w:lineRule="auto"/>
              <w:ind w:left="-108" w:right="-108"/>
              <w:jc w:val="center"/>
            </w:pPr>
            <w:r>
              <w:t>1</w:t>
            </w:r>
            <w:r w:rsidR="00880E75">
              <w:t>229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9121FA" w:rsidRPr="009121FA" w:rsidRDefault="004F5339" w:rsidP="00880E75">
            <w:pPr>
              <w:spacing w:after="0" w:line="240" w:lineRule="auto"/>
              <w:ind w:left="-108" w:right="-108"/>
              <w:jc w:val="center"/>
            </w:pPr>
            <w:r>
              <w:t xml:space="preserve">R$ </w:t>
            </w:r>
            <w:r w:rsidR="00880E75">
              <w:t>3</w:t>
            </w:r>
            <w:r w:rsidR="00880E75" w:rsidRPr="00880E75">
              <w:t>.983.843.860,12</w:t>
            </w:r>
          </w:p>
        </w:tc>
        <w:tc>
          <w:tcPr>
            <w:tcW w:w="136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9121FA" w:rsidRPr="009121FA" w:rsidRDefault="00880E75" w:rsidP="009121FA">
            <w:pPr>
              <w:spacing w:after="0" w:line="240" w:lineRule="auto"/>
              <w:ind w:left="-108" w:right="-108"/>
              <w:jc w:val="center"/>
            </w:pPr>
            <w:r w:rsidRPr="00880E75">
              <w:t>781,57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9121FA" w:rsidRPr="009121FA" w:rsidRDefault="00096756" w:rsidP="009121FA">
            <w:pPr>
              <w:spacing w:after="0" w:line="240" w:lineRule="auto"/>
              <w:ind w:left="-108" w:right="-108"/>
              <w:jc w:val="center"/>
            </w:pPr>
            <w:r>
              <w:t>33,92%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9121FA" w:rsidRPr="009121FA" w:rsidRDefault="00096756" w:rsidP="009121FA">
            <w:pPr>
              <w:spacing w:after="0" w:line="240" w:lineRule="auto"/>
              <w:ind w:left="-108" w:right="-108"/>
              <w:jc w:val="center"/>
            </w:pPr>
            <w:r>
              <w:t>-11,93%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9121FA" w:rsidRPr="009121FA" w:rsidRDefault="00096756" w:rsidP="009121FA">
            <w:pPr>
              <w:spacing w:after="0" w:line="240" w:lineRule="auto"/>
              <w:ind w:left="-108" w:right="-108"/>
              <w:jc w:val="center"/>
            </w:pPr>
            <w:r>
              <w:t>45,85%</w:t>
            </w:r>
            <w:bookmarkStart w:id="0" w:name="_GoBack"/>
            <w:bookmarkEnd w:id="0"/>
          </w:p>
        </w:tc>
      </w:tr>
      <w:tr w:rsidR="004F5339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F5339" w:rsidRPr="003D6317" w:rsidRDefault="00880E75" w:rsidP="00392F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880E75" w:rsidP="00392F5E">
            <w:pPr>
              <w:spacing w:after="0" w:line="240" w:lineRule="auto"/>
              <w:ind w:left="-108" w:right="-108"/>
              <w:jc w:val="center"/>
            </w:pPr>
            <w:r>
              <w:t>704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 xml:space="preserve">R$ </w:t>
            </w:r>
            <w:r w:rsidR="00880E75" w:rsidRPr="00880E75">
              <w:t>1.875.936.369,20</w:t>
            </w:r>
          </w:p>
        </w:tc>
        <w:tc>
          <w:tcPr>
            <w:tcW w:w="136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880E75" w:rsidP="00392F5E">
            <w:pPr>
              <w:spacing w:after="0" w:line="240" w:lineRule="auto"/>
              <w:ind w:left="-108" w:right="-108"/>
              <w:jc w:val="center"/>
            </w:pPr>
            <w:r w:rsidRPr="00880E75">
              <w:t>583,60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880E75" w:rsidP="00392F5E">
            <w:pPr>
              <w:spacing w:after="0" w:line="240" w:lineRule="auto"/>
              <w:ind w:left="-108" w:right="-108"/>
              <w:jc w:val="center"/>
            </w:pPr>
            <w:r>
              <w:t>44,45%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880E75" w:rsidP="00392F5E">
            <w:pPr>
              <w:spacing w:after="0" w:line="240" w:lineRule="auto"/>
              <w:ind w:left="-108" w:right="-108"/>
              <w:jc w:val="center"/>
            </w:pPr>
            <w:r>
              <w:t>2,92%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4F5339" w:rsidRPr="009121FA" w:rsidRDefault="00880E75" w:rsidP="00392F5E">
            <w:pPr>
              <w:spacing w:after="0" w:line="240" w:lineRule="auto"/>
              <w:ind w:left="-108" w:right="-108"/>
              <w:jc w:val="center"/>
            </w:pPr>
            <w:r>
              <w:t>41,53%</w:t>
            </w:r>
          </w:p>
        </w:tc>
      </w:tr>
      <w:tr w:rsidR="004F5339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F5339" w:rsidRPr="003D6317" w:rsidRDefault="004F5339" w:rsidP="00392F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231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R$ 647.174.574,06</w:t>
            </w:r>
          </w:p>
        </w:tc>
        <w:tc>
          <w:tcPr>
            <w:tcW w:w="136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404,03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37,35%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31,58%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5,77%</w:t>
            </w:r>
          </w:p>
        </w:tc>
      </w:tr>
      <w:tr w:rsidR="004F5339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F5339" w:rsidRPr="003D6317" w:rsidRDefault="004F5339" w:rsidP="00392F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96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R$ 227.376.790,58</w:t>
            </w:r>
          </w:p>
        </w:tc>
        <w:tc>
          <w:tcPr>
            <w:tcW w:w="136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294,16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14,52%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15,03%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-0,51%</w:t>
            </w:r>
          </w:p>
        </w:tc>
      </w:tr>
      <w:tr w:rsidR="004F5339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F5339" w:rsidRPr="003D6317" w:rsidRDefault="004F5339" w:rsidP="00392F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59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R$ 143.942.564,12</w:t>
            </w:r>
          </w:p>
        </w:tc>
        <w:tc>
          <w:tcPr>
            <w:tcW w:w="136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256,86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31,03%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3,36%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27,67%</w:t>
            </w:r>
          </w:p>
        </w:tc>
      </w:tr>
      <w:tr w:rsidR="004F5339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F5339" w:rsidRPr="003D6317" w:rsidRDefault="004F5339" w:rsidP="00392F5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86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R$ 133.738.463,32</w:t>
            </w:r>
          </w:p>
        </w:tc>
        <w:tc>
          <w:tcPr>
            <w:tcW w:w="136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196,03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-7,57%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38,94%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4F5339" w:rsidRPr="009121FA" w:rsidRDefault="004F5339" w:rsidP="00392F5E">
            <w:pPr>
              <w:spacing w:after="0" w:line="240" w:lineRule="auto"/>
              <w:ind w:left="-108" w:right="-108"/>
              <w:jc w:val="center"/>
            </w:pPr>
            <w:r w:rsidRPr="009121FA">
              <w:t>-46,51%</w:t>
            </w:r>
          </w:p>
        </w:tc>
      </w:tr>
      <w:tr w:rsidR="004F5339" w:rsidRPr="003D6317" w:rsidTr="00A021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867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9121FA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4F5339" w:rsidRPr="003D6317" w:rsidTr="00A02126">
        <w:trPr>
          <w:trHeight w:val="65"/>
        </w:trPr>
        <w:tc>
          <w:tcPr>
            <w:tcW w:w="9867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4F5339" w:rsidRPr="003D6317" w:rsidTr="00A02126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632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4F5339" w:rsidRPr="003D6317" w:rsidTr="00A0212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32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proofErr w:type="spellStart"/>
            <w:r w:rsidRPr="00A3183B">
              <w:t>Brazilian</w:t>
            </w:r>
            <w:proofErr w:type="spellEnd"/>
            <w:r w:rsidRPr="00A3183B">
              <w:t xml:space="preserve"> </w:t>
            </w:r>
            <w:proofErr w:type="spellStart"/>
            <w:r w:rsidRPr="00A3183B">
              <w:t>Depositary</w:t>
            </w:r>
            <w:proofErr w:type="spellEnd"/>
            <w:r w:rsidRPr="00A3183B">
              <w:t xml:space="preserve"> </w:t>
            </w:r>
            <w:proofErr w:type="spellStart"/>
            <w:r w:rsidRPr="00A3183B">
              <w:t>Receipts</w:t>
            </w:r>
            <w:proofErr w:type="spellEnd"/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r w:rsidRPr="00A3183B">
              <w:t>54,47%</w:t>
            </w:r>
          </w:p>
        </w:tc>
      </w:tr>
      <w:tr w:rsidR="004F5339" w:rsidRPr="003D6317" w:rsidTr="00A0212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32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r w:rsidRPr="00A3183B">
              <w:t>Títulos Federais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r w:rsidRPr="00A3183B">
              <w:t>30,58%</w:t>
            </w:r>
          </w:p>
        </w:tc>
      </w:tr>
      <w:tr w:rsidR="004F5339" w:rsidRPr="003D6317" w:rsidTr="00A0212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32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r w:rsidRPr="00A3183B">
              <w:t>Outros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r w:rsidRPr="00A3183B">
              <w:t>14,54%</w:t>
            </w:r>
          </w:p>
        </w:tc>
      </w:tr>
      <w:tr w:rsidR="004F5339" w:rsidRPr="003D6317" w:rsidTr="00A02126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32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Pr="00A3183B" w:rsidRDefault="004F5339" w:rsidP="00AD1EBD">
            <w:r w:rsidRPr="00A3183B">
              <w:t>Derivativos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4F5339" w:rsidRDefault="004F5339" w:rsidP="00AD1EBD">
            <w:r w:rsidRPr="00A3183B">
              <w:t>0,41%</w:t>
            </w:r>
          </w:p>
        </w:tc>
      </w:tr>
      <w:tr w:rsidR="004F5339" w:rsidRPr="003D6317" w:rsidTr="00A02126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32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145"/>
        </w:trPr>
        <w:tc>
          <w:tcPr>
            <w:tcW w:w="9867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4F5339" w:rsidRPr="003D6317" w:rsidTr="00A02126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408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4F5339" w:rsidRPr="003D6317" w:rsidTr="00A0212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  <w:r>
              <w:rPr>
                <w:sz w:val="20"/>
                <w:szCs w:val="20"/>
              </w:rPr>
              <w:t>N/A</w:t>
            </w:r>
          </w:p>
        </w:tc>
        <w:tc>
          <w:tcPr>
            <w:tcW w:w="4080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4080" w:type="dxa"/>
            <w:gridSpan w:val="10"/>
            <w:tcBorders>
              <w:top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4F5339" w:rsidRPr="003D6317" w:rsidTr="00A02126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10"/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474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4F5339" w:rsidRPr="003D6317" w:rsidTr="00A0212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488" w:type="dxa"/>
            <w:gridSpan w:val="15"/>
            <w:tcBorders>
              <w:right w:val="sing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4F5339" w:rsidRPr="003D6317" w:rsidTr="00A02126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474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63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4F5339" w:rsidRPr="003D6317" w:rsidTr="00A02126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639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80"/>
        </w:trPr>
        <w:tc>
          <w:tcPr>
            <w:tcW w:w="9867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4F5339" w:rsidRPr="003D6317" w:rsidTr="00A02126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42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F5339" w:rsidRPr="003D6317" w:rsidTr="00A02126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F5339" w:rsidRPr="003D6317" w:rsidRDefault="004F5339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742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4F5339" w:rsidRPr="003D6317" w:rsidRDefault="004F5339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lastRenderedPageBreak/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0C1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96756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4DE0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06845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47436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66B2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5339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5238F"/>
    <w:rsid w:val="007547CD"/>
    <w:rsid w:val="00757052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0E75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121FA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21BB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2126"/>
    <w:rsid w:val="00A05ABB"/>
    <w:rsid w:val="00A05F53"/>
    <w:rsid w:val="00A10AED"/>
    <w:rsid w:val="00A13E68"/>
    <w:rsid w:val="00A14B6F"/>
    <w:rsid w:val="00A16B59"/>
    <w:rsid w:val="00A17F89"/>
    <w:rsid w:val="00A2331F"/>
    <w:rsid w:val="00A24859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9B2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B19E7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17571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C63DF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2F0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953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7</cp:revision>
  <cp:lastPrinted>2016-03-23T21:20:00Z</cp:lastPrinted>
  <dcterms:created xsi:type="dcterms:W3CDTF">2020-09-18T17:37:00Z</dcterms:created>
  <dcterms:modified xsi:type="dcterms:W3CDTF">2022-02-14T17:03:00Z</dcterms:modified>
</cp:coreProperties>
</file>