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549"/>
        <w:gridCol w:w="457"/>
        <w:gridCol w:w="259"/>
        <w:gridCol w:w="575"/>
        <w:gridCol w:w="284"/>
        <w:gridCol w:w="283"/>
        <w:gridCol w:w="144"/>
        <w:gridCol w:w="1291"/>
        <w:gridCol w:w="550"/>
        <w:gridCol w:w="71"/>
        <w:gridCol w:w="200"/>
        <w:gridCol w:w="180"/>
        <w:gridCol w:w="100"/>
        <w:gridCol w:w="992"/>
        <w:gridCol w:w="325"/>
        <w:gridCol w:w="709"/>
        <w:gridCol w:w="15"/>
        <w:gridCol w:w="552"/>
        <w:gridCol w:w="709"/>
        <w:gridCol w:w="1394"/>
      </w:tblGrid>
      <w:tr w:rsidR="00684CDA" w:rsidRPr="003F426D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F426D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F426D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F426D">
              <w:rPr>
                <w:b/>
                <w:bCs/>
                <w:sz w:val="30"/>
                <w:szCs w:val="30"/>
              </w:rPr>
              <w:t xml:space="preserve"> </w:t>
            </w:r>
          </w:p>
          <w:p w:rsidR="00684CDA" w:rsidRPr="003F426D" w:rsidRDefault="00684CDA" w:rsidP="003F426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F426D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684CDA" w:rsidRPr="003F426D" w:rsidTr="003766E4">
        <w:trPr>
          <w:trHeight w:val="141"/>
        </w:trPr>
        <w:tc>
          <w:tcPr>
            <w:tcW w:w="126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1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CD708C" w:rsidP="003F426D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CD708C">
              <w:rPr>
                <w:sz w:val="21"/>
                <w:szCs w:val="21"/>
              </w:rPr>
              <w:t>SAFRA IMA FUNDO DE INVESTIMENTO EM COTAS DE FUNDOS DE INVESTIMENTO RENDA FIXA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Pr="00A76F97" w:rsidRDefault="00684CDA" w:rsidP="00A76F9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  <w:r w:rsidR="00CD708C" w:rsidRPr="00CD708C">
              <w:t>10.787.822/0001-18</w:t>
            </w:r>
            <w:r>
              <w:t xml:space="preserve">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</w:p>
        </w:tc>
      </w:tr>
      <w:tr w:rsidR="00684CDA" w:rsidRPr="003F426D" w:rsidTr="003766E4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8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SERV. ADM.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Nº Termo </w:t>
            </w:r>
            <w:proofErr w:type="spellStart"/>
            <w:r w:rsidRPr="003F426D">
              <w:rPr>
                <w:sz w:val="21"/>
                <w:szCs w:val="21"/>
              </w:rPr>
              <w:t>Cred</w:t>
            </w:r>
            <w:proofErr w:type="spellEnd"/>
            <w:r w:rsidRPr="003F426D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684CDA" w:rsidRPr="003F426D" w:rsidTr="003766E4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8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Nº Termo </w:t>
            </w:r>
            <w:proofErr w:type="spellStart"/>
            <w:r w:rsidRPr="003F426D">
              <w:rPr>
                <w:sz w:val="21"/>
                <w:szCs w:val="21"/>
              </w:rPr>
              <w:t>Cred</w:t>
            </w:r>
            <w:proofErr w:type="spellEnd"/>
            <w:r w:rsidRPr="003F426D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>
              <w:t>03.017.677/0001-20</w:t>
            </w:r>
          </w:p>
        </w:tc>
      </w:tr>
      <w:tr w:rsidR="00684CDA" w:rsidRPr="003F426D" w:rsidTr="003766E4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F426D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CNPJ: </w:t>
            </w:r>
          </w:p>
          <w:p w:rsidR="00684CDA" w:rsidRPr="003F426D" w:rsidRDefault="00684CDA" w:rsidP="003F426D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>
              <w:t>58.160.789/0001-28</w:t>
            </w:r>
          </w:p>
        </w:tc>
      </w:tr>
      <w:tr w:rsidR="00684CDA" w:rsidRPr="003F426D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F426D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684CDA" w:rsidRPr="003F426D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684CDA" w:rsidRPr="003F426D" w:rsidTr="000D10F4">
        <w:trPr>
          <w:trHeight w:val="174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0D10F4" w:rsidRDefault="000D10F4" w:rsidP="000D10F4">
            <w:pPr>
              <w:pStyle w:val="PargrafodaLista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0D10F4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4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4CDA" w:rsidRPr="000D10F4" w:rsidRDefault="00684CDA" w:rsidP="000D10F4">
            <w:pPr>
              <w:spacing w:after="0" w:line="240" w:lineRule="auto"/>
              <w:rPr>
                <w:sz w:val="18"/>
                <w:szCs w:val="18"/>
              </w:rPr>
            </w:pPr>
            <w:r w:rsidRPr="003F426D">
              <w:t>Art. 7º, I, “b”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I,“b</w:t>
            </w:r>
            <w:proofErr w:type="spellEnd"/>
            <w:r w:rsidRPr="003F426D">
              <w:t>”</w:t>
            </w:r>
          </w:p>
        </w:tc>
      </w:tr>
      <w:tr w:rsidR="00684CDA" w:rsidRPr="003F426D" w:rsidTr="000D10F4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I,“c</w:t>
            </w:r>
            <w:proofErr w:type="spellEnd"/>
            <w:r w:rsidRPr="003F426D">
              <w:t xml:space="preserve">” 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II,“a</w:t>
            </w:r>
            <w:proofErr w:type="spellEnd"/>
            <w:r w:rsidRPr="003F426D">
              <w:t>”</w:t>
            </w:r>
          </w:p>
        </w:tc>
      </w:tr>
      <w:tr w:rsidR="00684CDA" w:rsidRPr="003F426D" w:rsidTr="000D10F4">
        <w:trPr>
          <w:trHeight w:val="68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III,“a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II,“b</w:t>
            </w:r>
            <w:proofErr w:type="spellEnd"/>
            <w:r w:rsidRPr="003F426D">
              <w:t>”</w:t>
            </w:r>
          </w:p>
        </w:tc>
      </w:tr>
      <w:tr w:rsidR="00684CDA" w:rsidRPr="003F426D" w:rsidTr="000D10F4">
        <w:trPr>
          <w:trHeight w:val="85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III,“b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8º, III</w:t>
            </w:r>
          </w:p>
        </w:tc>
      </w:tr>
      <w:tr w:rsidR="00684CDA" w:rsidRPr="003F426D" w:rsidTr="000D10F4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IV,“a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IV,“a</w:t>
            </w:r>
            <w:proofErr w:type="spellEnd"/>
            <w:r w:rsidRPr="003F426D">
              <w:t>”</w:t>
            </w:r>
          </w:p>
        </w:tc>
      </w:tr>
      <w:tr w:rsidR="00684CDA" w:rsidRPr="003F426D" w:rsidTr="000D10F4">
        <w:trPr>
          <w:trHeight w:val="107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IV,“b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IV,“b</w:t>
            </w:r>
            <w:proofErr w:type="spellEnd"/>
            <w:r w:rsidRPr="003F426D">
              <w:t>”</w:t>
            </w:r>
          </w:p>
        </w:tc>
      </w:tr>
      <w:tr w:rsidR="00684CDA" w:rsidRPr="003F426D" w:rsidTr="000D10F4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VII,“a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IV,“c</w:t>
            </w:r>
            <w:proofErr w:type="spellEnd"/>
            <w:r w:rsidRPr="003F426D">
              <w:t>”</w:t>
            </w:r>
          </w:p>
        </w:tc>
      </w:tr>
      <w:tr w:rsidR="00684CDA" w:rsidRPr="003F426D" w:rsidTr="000D10F4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VII,“b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9º-A, I</w:t>
            </w:r>
          </w:p>
        </w:tc>
      </w:tr>
      <w:tr w:rsidR="00684CDA" w:rsidRPr="003F426D" w:rsidTr="000D10F4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7º, </w:t>
            </w:r>
            <w:proofErr w:type="spellStart"/>
            <w:r w:rsidRPr="003F426D">
              <w:t>VII,“c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9º-A, II</w:t>
            </w:r>
          </w:p>
        </w:tc>
      </w:tr>
      <w:tr w:rsidR="00684CDA" w:rsidRPr="003F426D" w:rsidTr="000D10F4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DA" w:rsidRPr="003F426D" w:rsidDel="00391E1E" w:rsidRDefault="00684CDA" w:rsidP="003F426D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F426D">
              <w:t xml:space="preserve">Art. 8º, </w:t>
            </w:r>
            <w:proofErr w:type="spellStart"/>
            <w:r w:rsidRPr="003F426D">
              <w:t>I,“a</w:t>
            </w:r>
            <w:proofErr w:type="spellEnd"/>
            <w:r w:rsidRPr="003F426D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4CDA" w:rsidRPr="003F426D" w:rsidDel="00391E1E" w:rsidRDefault="00684CDA" w:rsidP="003F426D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976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F426D">
              <w:t>Art. 9º-A, III</w:t>
            </w:r>
          </w:p>
        </w:tc>
      </w:tr>
      <w:tr w:rsidR="00684CDA" w:rsidRPr="003F426D">
        <w:trPr>
          <w:trHeight w:val="2872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684CDA" w:rsidRPr="003F426D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F426D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426D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F426D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684CDA" w:rsidRPr="003F426D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F426D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F426D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F426D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F426D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84CDA" w:rsidRPr="003F426D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CDA" w:rsidRPr="003F426D" w:rsidRDefault="00684CDA" w:rsidP="003F426D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F426D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4CDA" w:rsidRPr="003F426D" w:rsidRDefault="00684CDA" w:rsidP="003F426D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684CDA" w:rsidRPr="003F426D" w:rsidRDefault="00684CDA" w:rsidP="003F426D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684CDA" w:rsidRPr="003F426D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F426D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684CDA" w:rsidRPr="003F426D" w:rsidTr="003766E4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8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BANCO SAFRA SA</w:t>
            </w:r>
          </w:p>
        </w:tc>
      </w:tr>
      <w:tr w:rsidR="00684CDA" w:rsidRPr="003F426D" w:rsidTr="003766E4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CPF/CNPJ:</w:t>
            </w:r>
          </w:p>
        </w:tc>
        <w:tc>
          <w:tcPr>
            <w:tcW w:w="7088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  <w:r>
              <w:t>58.160.789/0001-28</w:t>
            </w:r>
          </w:p>
        </w:tc>
      </w:tr>
      <w:tr w:rsidR="00684CDA" w:rsidRPr="003F426D" w:rsidTr="003766E4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8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NÃO SE APLICA. OS FUNDOS SÃO DISTRIBUIDOS ATRAVÉS DOS CANAIS DO BANCO, DIRETAMENTE PELOS FUNCIONÁRIOS.</w:t>
            </w:r>
          </w:p>
        </w:tc>
      </w:tr>
      <w:tr w:rsidR="00684CDA" w:rsidRPr="003F426D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684CDA" w:rsidRPr="003F426D" w:rsidTr="003766E4">
        <w:trPr>
          <w:trHeight w:val="240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t>Data de Constituição:</w:t>
            </w:r>
          </w:p>
        </w:tc>
        <w:tc>
          <w:tcPr>
            <w:tcW w:w="2056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684CDA" w:rsidRPr="00D06735" w:rsidRDefault="00CD708C" w:rsidP="00D0673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16/11/2009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</w:pPr>
            <w:r w:rsidRPr="003F426D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84CDA" w:rsidRPr="00D06735" w:rsidRDefault="00CD708C" w:rsidP="00D06735">
            <w:pPr>
              <w:pStyle w:val="Default"/>
              <w:rPr>
                <w:sz w:val="22"/>
                <w:szCs w:val="22"/>
              </w:rPr>
            </w:pPr>
            <w:r w:rsidRPr="00CD708C">
              <w:t>21/12/2009</w:t>
            </w:r>
          </w:p>
        </w:tc>
      </w:tr>
      <w:tr w:rsidR="00684CDA" w:rsidRPr="003F426D" w:rsidTr="003766E4">
        <w:trPr>
          <w:trHeight w:val="156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lastRenderedPageBreak/>
              <w:t>Política de Investimentos do Fundo</w:t>
            </w:r>
          </w:p>
        </w:tc>
        <w:tc>
          <w:tcPr>
            <w:tcW w:w="7232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</w:pPr>
            <w:r w:rsidRPr="003F426D">
              <w:rPr>
                <w:sz w:val="21"/>
                <w:szCs w:val="21"/>
              </w:rPr>
              <w:t>Índice de referência/objetivo de rentabilidade:</w:t>
            </w:r>
          </w:p>
        </w:tc>
      </w:tr>
      <w:tr w:rsidR="00684CDA" w:rsidRPr="003F426D" w:rsidTr="003766E4">
        <w:trPr>
          <w:trHeight w:val="156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232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1154A7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1154A7">
              <w:rPr>
                <w:sz w:val="21"/>
                <w:szCs w:val="21"/>
              </w:rPr>
              <w:t xml:space="preserve">O objetivo do FUNDO é atuar no sentido de buscar superar o IMA -B (Índice de Mercado ANBIMA) mediante a aplicação de seus recursos em cotas de fundos de investimento e/ou cotas de fundos de investimento em cotas de fundos de investimento, que invistam exclusivamente em títulos de emissão do Tesouro Nacional, registrados no Sistema Especial de Liquidação e Custódia (SELIC) e sem compromisso de manter limites mínimo ou máximo para a </w:t>
            </w:r>
            <w:proofErr w:type="spellStart"/>
            <w:r w:rsidRPr="001154A7">
              <w:rPr>
                <w:sz w:val="21"/>
                <w:szCs w:val="21"/>
              </w:rPr>
              <w:t>duration</w:t>
            </w:r>
            <w:proofErr w:type="spellEnd"/>
            <w:r w:rsidRPr="001154A7">
              <w:rPr>
                <w:sz w:val="21"/>
                <w:szCs w:val="21"/>
              </w:rPr>
              <w:t xml:space="preserve"> média ponderada da carteira.</w:t>
            </w:r>
          </w:p>
        </w:tc>
      </w:tr>
      <w:tr w:rsidR="00684CDA" w:rsidRPr="003F426D" w:rsidTr="003766E4">
        <w:trPr>
          <w:trHeight w:val="156"/>
        </w:trPr>
        <w:tc>
          <w:tcPr>
            <w:tcW w:w="2407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Público-alvo:</w:t>
            </w:r>
          </w:p>
        </w:tc>
        <w:tc>
          <w:tcPr>
            <w:tcW w:w="7232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EM GERAL</w:t>
            </w:r>
          </w:p>
        </w:tc>
      </w:tr>
      <w:tr w:rsidR="00684CDA" w:rsidRPr="003F426D" w:rsidTr="003766E4">
        <w:trPr>
          <w:trHeight w:val="183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684CDA" w:rsidRPr="003F426D" w:rsidTr="003766E4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684CDA" w:rsidRPr="003F426D" w:rsidTr="003766E4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</w:p>
        </w:tc>
      </w:tr>
      <w:tr w:rsidR="00684CDA" w:rsidRPr="003F426D" w:rsidTr="003766E4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</w:t>
            </w:r>
          </w:p>
        </w:tc>
      </w:tr>
      <w:tr w:rsidR="00684CDA" w:rsidRPr="003F426D" w:rsidTr="003766E4">
        <w:trPr>
          <w:trHeight w:val="47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684CDA" w:rsidRPr="003F426D" w:rsidTr="003766E4">
        <w:trPr>
          <w:trHeight w:val="174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684CDA" w:rsidRPr="003F426D" w:rsidTr="003766E4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684CDA" w:rsidRPr="003F426D" w:rsidTr="003766E4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administração (%)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84CDA" w:rsidRPr="003F426D" w:rsidRDefault="00684CDA" w:rsidP="00CD708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Mínima 0,</w:t>
            </w:r>
            <w:r w:rsidR="00CD708C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% / Máxima 0,</w:t>
            </w:r>
            <w:r w:rsidR="00CD708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0%</w:t>
            </w:r>
          </w:p>
        </w:tc>
      </w:tr>
      <w:tr w:rsidR="00684CDA" w:rsidRPr="003F426D" w:rsidTr="003766E4">
        <w:trPr>
          <w:trHeight w:val="4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32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Taxa de Performance</w:t>
            </w:r>
          </w:p>
        </w:tc>
      </w:tr>
      <w:tr w:rsidR="00684CDA" w:rsidRPr="003F426D" w:rsidTr="003766E4">
        <w:trPr>
          <w:trHeight w:val="171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2" w:type="dxa"/>
            <w:gridSpan w:val="8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3"/>
            <w:tcBorders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Linha-d`água</w:t>
            </w:r>
          </w:p>
        </w:tc>
      </w:tr>
      <w:tr w:rsidR="00684CDA" w:rsidRPr="003F426D" w:rsidTr="003766E4">
        <w:trPr>
          <w:trHeight w:val="26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2592" w:type="dxa"/>
            <w:gridSpan w:val="8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2655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1154A7" w:rsidRPr="003F426D" w:rsidTr="003766E4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154A7" w:rsidRPr="003F426D" w:rsidRDefault="001154A7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2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154A7" w:rsidRPr="008C3CA2" w:rsidRDefault="001154A7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1154A7" w:rsidRPr="003F426D" w:rsidTr="003766E4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154A7" w:rsidRPr="003F426D" w:rsidRDefault="001154A7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232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1154A7" w:rsidRPr="003F426D" w:rsidTr="003766E4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154A7" w:rsidRPr="003F426D" w:rsidRDefault="001154A7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232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154A7" w:rsidRPr="008C3CA2" w:rsidRDefault="001154A7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1154A7" w:rsidRPr="003F426D" w:rsidTr="003766E4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1154A7" w:rsidRPr="003F426D" w:rsidRDefault="001154A7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t xml:space="preserve">Análise da aderência do fundo ao perfil da carteira do RPPS e à sua Política de </w:t>
            </w:r>
            <w:r w:rsidRPr="003F426D">
              <w:rPr>
                <w:sz w:val="21"/>
                <w:szCs w:val="21"/>
              </w:rPr>
              <w:lastRenderedPageBreak/>
              <w:t>Investimentos:</w:t>
            </w:r>
          </w:p>
        </w:tc>
        <w:tc>
          <w:tcPr>
            <w:tcW w:w="7232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1154A7" w:rsidRPr="008C3CA2" w:rsidRDefault="001154A7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lastRenderedPageBreak/>
              <w:t>-</w:t>
            </w:r>
          </w:p>
        </w:tc>
      </w:tr>
      <w:tr w:rsidR="00684CDA" w:rsidRPr="003F426D" w:rsidTr="003766E4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rPr>
                <w:sz w:val="21"/>
                <w:szCs w:val="21"/>
              </w:rPr>
            </w:pPr>
            <w:r w:rsidRPr="003F426D">
              <w:rPr>
                <w:sz w:val="21"/>
                <w:szCs w:val="21"/>
              </w:rPr>
              <w:lastRenderedPageBreak/>
              <w:t>Principais riscos associados ao Fundo:</w:t>
            </w:r>
          </w:p>
        </w:tc>
        <w:tc>
          <w:tcPr>
            <w:tcW w:w="7232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t>1) Mercado  2) Liquidez 3) Crédito 4) Derivativos para posição  5) Não Obtenção do Tratamento Tributário 6) Legal</w:t>
            </w:r>
          </w:p>
        </w:tc>
      </w:tr>
      <w:tr w:rsidR="00684CDA" w:rsidRPr="003F426D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84CDA" w:rsidRPr="003F426D" w:rsidRDefault="00684CDA" w:rsidP="003F426D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684CDA" w:rsidRPr="003F426D" w:rsidTr="0077221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002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Patrimônio Líquido</w:t>
            </w:r>
          </w:p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101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Valor da</w:t>
            </w:r>
          </w:p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Cota do Fundo</w:t>
            </w:r>
          </w:p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Rentabilidade</w:t>
            </w:r>
          </w:p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0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67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F426D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684CDA" w:rsidRPr="003F426D" w:rsidRDefault="00684CDA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583893" w:rsidRPr="003F426D" w:rsidTr="0077221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83893" w:rsidRPr="003F426D" w:rsidRDefault="007605B5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83893" w:rsidRPr="003F426D" w:rsidRDefault="005B000E" w:rsidP="00772215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83893" w:rsidRPr="00772215" w:rsidRDefault="005B000E" w:rsidP="00772215">
            <w:pPr>
              <w:spacing w:after="0" w:line="240" w:lineRule="auto"/>
              <w:ind w:left="-108" w:right="-108"/>
              <w:jc w:val="center"/>
            </w:pPr>
            <w:r>
              <w:t xml:space="preserve">R$ </w:t>
            </w:r>
            <w:r w:rsidRPr="005B000E">
              <w:t>932.473.245,37</w:t>
            </w:r>
          </w:p>
        </w:tc>
        <w:tc>
          <w:tcPr>
            <w:tcW w:w="110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83893" w:rsidRPr="003766E4" w:rsidRDefault="005B000E" w:rsidP="00772215">
            <w:pPr>
              <w:jc w:val="center"/>
            </w:pPr>
            <w:r>
              <w:t>369,05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83893" w:rsidRPr="00583893" w:rsidRDefault="007605B5" w:rsidP="00772215">
            <w:r>
              <w:t>-5,18%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83893" w:rsidRPr="00583893" w:rsidRDefault="007605B5" w:rsidP="00772215">
            <w:pPr>
              <w:jc w:val="center"/>
            </w:pPr>
            <w:r>
              <w:t>-1,26%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583893" w:rsidRPr="00583893" w:rsidRDefault="007605B5" w:rsidP="00772215">
            <w:pPr>
              <w:jc w:val="center"/>
            </w:pPr>
            <w:r>
              <w:t>-3,91%</w:t>
            </w:r>
          </w:p>
        </w:tc>
      </w:tr>
      <w:tr w:rsidR="005B000E" w:rsidRPr="003F426D" w:rsidTr="0077221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B000E" w:rsidRPr="003F426D" w:rsidRDefault="007605B5" w:rsidP="003B40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3F426D" w:rsidRDefault="005B000E" w:rsidP="003B40E6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t>94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772215" w:rsidRDefault="005B000E" w:rsidP="003B40E6">
            <w:pPr>
              <w:spacing w:after="0" w:line="240" w:lineRule="auto"/>
              <w:ind w:left="-108" w:right="-108"/>
              <w:jc w:val="center"/>
            </w:pPr>
            <w:r w:rsidRPr="003766E4">
              <w:t>R$ 1.181.144.872,89</w:t>
            </w:r>
          </w:p>
        </w:tc>
        <w:tc>
          <w:tcPr>
            <w:tcW w:w="110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3766E4" w:rsidRDefault="005B000E" w:rsidP="003B40E6">
            <w:pPr>
              <w:jc w:val="center"/>
            </w:pPr>
            <w:r w:rsidRPr="003766E4">
              <w:t>360,06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7605B5" w:rsidP="003B40E6">
            <w:r>
              <w:t>7,24%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7605B5" w:rsidP="003B40E6">
            <w:pPr>
              <w:jc w:val="center"/>
            </w:pPr>
            <w:r>
              <w:t>6,41%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5B000E" w:rsidRPr="00583893" w:rsidRDefault="007605B5" w:rsidP="003B40E6">
            <w:pPr>
              <w:jc w:val="center"/>
            </w:pPr>
            <w:r>
              <w:t>0,84%</w:t>
            </w:r>
          </w:p>
        </w:tc>
      </w:tr>
      <w:tr w:rsidR="005B000E" w:rsidRPr="003F426D" w:rsidTr="0077221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B000E" w:rsidRPr="003F426D" w:rsidRDefault="005B000E" w:rsidP="003B40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3F426D" w:rsidRDefault="005B000E" w:rsidP="003B40E6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t>115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772215" w:rsidRDefault="005B000E" w:rsidP="003B40E6">
            <w:pPr>
              <w:spacing w:after="0" w:line="240" w:lineRule="auto"/>
              <w:ind w:left="-108" w:right="-108"/>
              <w:jc w:val="center"/>
            </w:pPr>
            <w:r w:rsidRPr="00772215">
              <w:t>R$ 1.710.660.732,42</w:t>
            </w:r>
          </w:p>
        </w:tc>
        <w:tc>
          <w:tcPr>
            <w:tcW w:w="110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3766E4" w:rsidRDefault="005B000E" w:rsidP="003B40E6">
            <w:pPr>
              <w:jc w:val="center"/>
            </w:pPr>
            <w:r w:rsidRPr="003766E4">
              <w:t>353,23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23,44%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22,95%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5B000E" w:rsidRPr="00583893" w:rsidRDefault="007605B5" w:rsidP="003B40E6">
            <w:pPr>
              <w:jc w:val="center"/>
            </w:pPr>
            <w:r>
              <w:t>0,49%</w:t>
            </w:r>
            <w:bookmarkStart w:id="0" w:name="_GoBack"/>
            <w:bookmarkEnd w:id="0"/>
          </w:p>
        </w:tc>
      </w:tr>
      <w:tr w:rsidR="005B000E" w:rsidRPr="003F426D" w:rsidTr="0077221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B000E" w:rsidRPr="003F426D" w:rsidRDefault="005B000E" w:rsidP="003B40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3F426D" w:rsidRDefault="005B000E" w:rsidP="003B40E6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F426D">
              <w:t>2</w:t>
            </w:r>
            <w:r>
              <w:t>2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772215" w:rsidRDefault="005B000E" w:rsidP="003B40E6">
            <w:pPr>
              <w:spacing w:after="0" w:line="240" w:lineRule="auto"/>
              <w:ind w:left="-108" w:right="-108"/>
              <w:jc w:val="center"/>
            </w:pPr>
            <w:r w:rsidRPr="00772215">
              <w:t>R$ 287.256.744,58</w:t>
            </w:r>
          </w:p>
        </w:tc>
        <w:tc>
          <w:tcPr>
            <w:tcW w:w="110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3766E4" w:rsidRDefault="005B000E" w:rsidP="003B40E6">
            <w:pPr>
              <w:jc w:val="center"/>
            </w:pPr>
            <w:r w:rsidRPr="003766E4">
              <w:t>286,16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14,48%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13,06%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5B000E" w:rsidRPr="00583893" w:rsidRDefault="007605B5" w:rsidP="003B40E6">
            <w:pPr>
              <w:jc w:val="center"/>
            </w:pPr>
            <w:r>
              <w:t>1,43%</w:t>
            </w:r>
          </w:p>
        </w:tc>
      </w:tr>
      <w:tr w:rsidR="005B000E" w:rsidRPr="003F426D" w:rsidTr="0077221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B000E" w:rsidRPr="003F426D" w:rsidRDefault="005B000E" w:rsidP="003B40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3766E4" w:rsidRDefault="005B000E" w:rsidP="003B40E6">
            <w:pPr>
              <w:spacing w:after="0" w:line="240" w:lineRule="auto"/>
              <w:ind w:left="-108" w:right="-108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766E4">
              <w:t>22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772215" w:rsidRDefault="005B000E" w:rsidP="003B40E6">
            <w:pPr>
              <w:spacing w:after="0" w:line="240" w:lineRule="auto"/>
              <w:ind w:left="-108" w:right="-108"/>
              <w:jc w:val="center"/>
            </w:pPr>
            <w:r w:rsidRPr="00772215">
              <w:t>R$ 350.442.768,39</w:t>
            </w:r>
          </w:p>
        </w:tc>
        <w:tc>
          <w:tcPr>
            <w:tcW w:w="110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3766E4" w:rsidRDefault="005B000E" w:rsidP="003B40E6">
            <w:pPr>
              <w:jc w:val="center"/>
            </w:pPr>
            <w:r w:rsidRPr="003766E4">
              <w:t>249,95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12,34%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12,79%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5B000E" w:rsidRPr="00583893" w:rsidRDefault="007605B5" w:rsidP="003B40E6">
            <w:pPr>
              <w:jc w:val="center"/>
            </w:pPr>
            <w:r>
              <w:t>-0,45%</w:t>
            </w:r>
          </w:p>
        </w:tc>
      </w:tr>
      <w:tr w:rsidR="005B000E" w:rsidRPr="003F426D" w:rsidTr="0077221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5B000E" w:rsidRPr="003F426D" w:rsidRDefault="005B000E" w:rsidP="003B40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3F426D" w:rsidRDefault="005B000E" w:rsidP="003B40E6">
            <w:pPr>
              <w:spacing w:after="0" w:line="240" w:lineRule="auto"/>
              <w:ind w:left="-108" w:right="-108"/>
              <w:jc w:val="center"/>
            </w:pPr>
            <w:r>
              <w:t>21</w:t>
            </w:r>
          </w:p>
        </w:tc>
        <w:tc>
          <w:tcPr>
            <w:tcW w:w="200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5B000E" w:rsidRPr="00772215" w:rsidRDefault="005B000E" w:rsidP="003B40E6">
            <w:pPr>
              <w:spacing w:after="0" w:line="240" w:lineRule="auto"/>
              <w:ind w:left="-108" w:right="-108"/>
              <w:jc w:val="center"/>
            </w:pPr>
            <w:r w:rsidRPr="00772215">
              <w:t>R$ 347.599.460,46</w:t>
            </w:r>
          </w:p>
        </w:tc>
        <w:tc>
          <w:tcPr>
            <w:tcW w:w="110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222,50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22,47%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bottom"/>
          </w:tcPr>
          <w:p w:rsidR="005B000E" w:rsidRPr="00583893" w:rsidRDefault="005B000E" w:rsidP="003B40E6">
            <w:pPr>
              <w:jc w:val="center"/>
            </w:pPr>
            <w:r w:rsidRPr="00583893">
              <w:t>24,81%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  <w:vAlign w:val="bottom"/>
          </w:tcPr>
          <w:p w:rsidR="005B000E" w:rsidRPr="00583893" w:rsidRDefault="007605B5" w:rsidP="003B40E6">
            <w:pPr>
              <w:jc w:val="center"/>
            </w:pPr>
            <w:r>
              <w:t>-2,34%</w:t>
            </w:r>
          </w:p>
        </w:tc>
      </w:tr>
      <w:tr w:rsidR="005B000E" w:rsidRPr="003F426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5B000E" w:rsidRPr="003F426D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5B000E" w:rsidRPr="003F426D" w:rsidTr="003766E4">
        <w:trPr>
          <w:trHeight w:val="241"/>
        </w:trPr>
        <w:tc>
          <w:tcPr>
            <w:tcW w:w="18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5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5B000E" w:rsidRPr="003F426D" w:rsidTr="003766E4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5B000E" w:rsidRPr="003F426D" w:rsidTr="003766E4">
        <w:trPr>
          <w:trHeight w:val="24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% do PL</w:t>
            </w:r>
          </w:p>
        </w:tc>
      </w:tr>
      <w:tr w:rsidR="005B000E" w:rsidRPr="003F426D" w:rsidTr="003766E4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1.</w:t>
            </w:r>
            <w:r w:rsidRPr="003F426D">
              <w:t xml:space="preserve"> </w:t>
            </w:r>
            <w:r w:rsidRPr="00772215">
              <w:rPr>
                <w:sz w:val="20"/>
                <w:szCs w:val="20"/>
              </w:rPr>
              <w:t>30.659.168/0001-74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Art. 7º, inciso I, alínea "b"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100%</w:t>
            </w:r>
          </w:p>
        </w:tc>
      </w:tr>
      <w:tr w:rsidR="005B000E" w:rsidRPr="003F426D" w:rsidTr="003766E4">
        <w:trPr>
          <w:trHeight w:val="69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2.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5B000E" w:rsidRPr="003F426D" w:rsidRDefault="005B000E" w:rsidP="00A42455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3.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.....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6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Emissor (CPF/CNPJ)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% do PL</w:t>
            </w:r>
          </w:p>
        </w:tc>
      </w:tr>
      <w:tr w:rsidR="005B000E" w:rsidRPr="003F426D" w:rsidTr="003766E4">
        <w:trPr>
          <w:trHeight w:val="116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-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8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7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5B000E" w:rsidRPr="003F426D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102 meses. Devido ao fundo possuir uma gestão ativa de seu portfolio, este prazo pode se alterar a qualquer momento.</w:t>
            </w:r>
          </w:p>
        </w:tc>
      </w:tr>
      <w:tr w:rsidR="005B000E" w:rsidRPr="003F426D" w:rsidTr="003766E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rPr>
                <w:sz w:val="20"/>
                <w:szCs w:val="20"/>
              </w:rPr>
            </w:pPr>
            <w:r w:rsidRPr="003F426D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7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80"/>
        </w:trPr>
        <w:tc>
          <w:tcPr>
            <w:tcW w:w="2124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5B000E" w:rsidRPr="003F426D" w:rsidTr="003766E4">
        <w:trPr>
          <w:trHeight w:val="80"/>
        </w:trPr>
        <w:tc>
          <w:tcPr>
            <w:tcW w:w="212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5B000E" w:rsidRPr="003F426D" w:rsidTr="003766E4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5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B000E" w:rsidRPr="003F426D" w:rsidTr="003766E4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B000E" w:rsidRPr="003F426D" w:rsidRDefault="005B000E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0"/>
                <w:szCs w:val="20"/>
              </w:rPr>
              <w:t xml:space="preserve">Comentários </w:t>
            </w:r>
            <w:r w:rsidRPr="003F426D">
              <w:rPr>
                <w:b/>
                <w:bCs/>
                <w:sz w:val="20"/>
                <w:szCs w:val="20"/>
              </w:rPr>
              <w:lastRenderedPageBreak/>
              <w:t>Adicionais</w:t>
            </w:r>
          </w:p>
        </w:tc>
        <w:tc>
          <w:tcPr>
            <w:tcW w:w="7515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5B000E" w:rsidRPr="003F426D" w:rsidRDefault="005B000E" w:rsidP="003F42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684CDA" w:rsidRDefault="00684CDA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684CDA" w:rsidRDefault="00684CDA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684CDA" w:rsidRPr="003F426D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F426D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426D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684CDA" w:rsidRPr="003F426D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CDA" w:rsidRPr="003F426D" w:rsidRDefault="00684CDA" w:rsidP="003F426D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684CDA" w:rsidRPr="003F426D" w:rsidRDefault="00684CDA" w:rsidP="003F426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684CDA" w:rsidRDefault="00684CDA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684CDA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DA" w:rsidRDefault="00684CDA" w:rsidP="003764B6">
      <w:pPr>
        <w:spacing w:after="0" w:line="240" w:lineRule="auto"/>
      </w:pPr>
      <w:r>
        <w:separator/>
      </w:r>
    </w:p>
  </w:endnote>
  <w:endnote w:type="continuationSeparator" w:id="0">
    <w:p w:rsidR="00684CDA" w:rsidRDefault="00684CDA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DA" w:rsidRDefault="00684CDA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DA" w:rsidRDefault="00684CDA" w:rsidP="003764B6">
      <w:pPr>
        <w:spacing w:after="0" w:line="240" w:lineRule="auto"/>
      </w:pPr>
      <w:r>
        <w:separator/>
      </w:r>
    </w:p>
  </w:footnote>
  <w:footnote w:type="continuationSeparator" w:id="0">
    <w:p w:rsidR="00684CDA" w:rsidRDefault="00684CDA" w:rsidP="003764B6">
      <w:pPr>
        <w:spacing w:after="0" w:line="240" w:lineRule="auto"/>
      </w:pPr>
      <w:r>
        <w:continuationSeparator/>
      </w:r>
    </w:p>
  </w:footnote>
  <w:footnote w:id="1">
    <w:p w:rsidR="00684CDA" w:rsidRDefault="00684CDA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DA" w:rsidRDefault="00684CDA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262E5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10F4"/>
    <w:rsid w:val="000D41E5"/>
    <w:rsid w:val="000D423E"/>
    <w:rsid w:val="000E6FA1"/>
    <w:rsid w:val="000F6C2C"/>
    <w:rsid w:val="000F7F9D"/>
    <w:rsid w:val="0010254A"/>
    <w:rsid w:val="0011177A"/>
    <w:rsid w:val="001154A7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1AE8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66E4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3F426D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D85"/>
    <w:rsid w:val="004E6E47"/>
    <w:rsid w:val="004F7A17"/>
    <w:rsid w:val="004F7FF4"/>
    <w:rsid w:val="00506E89"/>
    <w:rsid w:val="00512061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893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000E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4CDA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605B5"/>
    <w:rsid w:val="0076325E"/>
    <w:rsid w:val="00766B11"/>
    <w:rsid w:val="00767720"/>
    <w:rsid w:val="00772215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034B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42455"/>
    <w:rsid w:val="00A5311C"/>
    <w:rsid w:val="00A56E69"/>
    <w:rsid w:val="00A62AE8"/>
    <w:rsid w:val="00A6762D"/>
    <w:rsid w:val="00A7114D"/>
    <w:rsid w:val="00A73FF0"/>
    <w:rsid w:val="00A76F97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D64C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08C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0673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05B2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2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937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  </vt:lpstr>
    </vt:vector>
  </TitlesOfParts>
  <Company>Banco Safra S/A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9</cp:revision>
  <cp:lastPrinted>2016-03-23T21:20:00Z</cp:lastPrinted>
  <dcterms:created xsi:type="dcterms:W3CDTF">2020-09-16T20:18:00Z</dcterms:created>
  <dcterms:modified xsi:type="dcterms:W3CDTF">2022-02-14T16:58:00Z</dcterms:modified>
</cp:coreProperties>
</file>