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242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D6317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EC63DF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EC63DF">
              <w:rPr>
                <w:sz w:val="21"/>
                <w:szCs w:val="21"/>
              </w:rPr>
              <w:t>SAFRA SMALL CAP PB FIC AÇÕES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EC63DF" w:rsidRPr="00EC63DF">
              <w:t>16.617.446/0001-08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BD62E3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BD62E3" w:rsidDel="00391E1E" w:rsidRDefault="00513E95" w:rsidP="00BD62E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D62E3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II,“a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BD62E3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BD62E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BD62E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BD62E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>
        <w:trPr>
          <w:trHeight w:val="2872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EC63DF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EC63DF">
              <w:rPr>
                <w:sz w:val="22"/>
                <w:szCs w:val="22"/>
              </w:rPr>
              <w:t>22/10/2012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EC63DF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EC63DF">
              <w:t>29/07/2013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EC63DF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EC63DF">
              <w:t xml:space="preserve">O objetivo do FUNDO é atuar no sentido de propiciar aos seus cotistas valorização de suas cotas mediante aplicação de seus recursos em cotas de fundos de investimento e/ou cotas de fundos de investimento em cotas de fundos de investimento cuja carteira de ações investe, no mínimo, 85% (oitenta e cinco por cento) em ações de empresas que não estejam incluídas entre as 25 maiores participações do </w:t>
            </w:r>
            <w:proofErr w:type="spellStart"/>
            <w:r w:rsidRPr="00EC63DF">
              <w:t>IBrX</w:t>
            </w:r>
            <w:proofErr w:type="spellEnd"/>
            <w:r w:rsidRPr="00EC63DF">
              <w:t xml:space="preserve"> - Índice Brasil, ou seja, ações de empresas com relativamente baixa capitalização de mercado. Os 15% (quinze por cento) remanescentes podem ser investidos em ações de maior liquidez ou capitalização de mercado, desde que não estejam incluídas entre as dez maiores participações do </w:t>
            </w:r>
            <w:proofErr w:type="spellStart"/>
            <w:r w:rsidRPr="00EC63DF">
              <w:t>IBrX</w:t>
            </w:r>
            <w:proofErr w:type="spellEnd"/>
            <w:r w:rsidRPr="00EC63DF">
              <w:t xml:space="preserve"> – Índice Brasil.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7442F6" w:rsidRPr="003D631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</w:p>
        </w:tc>
      </w:tr>
      <w:tr w:rsidR="007442F6" w:rsidRPr="003D6317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Ibovespa</w:t>
            </w:r>
          </w:p>
        </w:tc>
        <w:tc>
          <w:tcPr>
            <w:tcW w:w="259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Análise da aderência do fundo ao perfil da carteira do RPPS e à sua </w:t>
            </w:r>
            <w:r w:rsidRPr="003D6317">
              <w:rPr>
                <w:sz w:val="21"/>
                <w:szCs w:val="21"/>
              </w:rPr>
              <w:lastRenderedPageBreak/>
              <w:t>Política de Investimentos: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lastRenderedPageBreak/>
              <w:t>-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t xml:space="preserve">1) Mercado 2) Liquidez 3) Crédito </w:t>
            </w:r>
            <w:r w:rsidR="003F3CA6">
              <w:t>4</w:t>
            </w:r>
            <w:r w:rsidRPr="003D6317">
              <w:t>)</w:t>
            </w:r>
            <w:r w:rsidR="00306845">
              <w:t xml:space="preserve"> Derivativos Para Posição</w:t>
            </w:r>
            <w:r w:rsidRPr="003D6317">
              <w:t xml:space="preserve"> </w:t>
            </w:r>
            <w:r w:rsidR="00306845">
              <w:t xml:space="preserve">5) </w:t>
            </w:r>
            <w:r w:rsidRPr="003D6317">
              <w:t>Legal</w:t>
            </w:r>
          </w:p>
        </w:tc>
      </w:tr>
      <w:tr w:rsidR="007442F6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7442F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306845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06845" w:rsidRPr="003D6317" w:rsidRDefault="00CB5D61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123EBD" w:rsidP="000210C1">
            <w:pPr>
              <w:jc w:val="center"/>
            </w:pPr>
            <w:r>
              <w:t>274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123EBD" w:rsidP="000210C1">
            <w:pPr>
              <w:jc w:val="center"/>
            </w:pPr>
            <w:r>
              <w:t xml:space="preserve">R$ </w:t>
            </w:r>
            <w:r w:rsidRPr="00123EBD">
              <w:t>109.459.598,57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123EBD" w:rsidP="000210C1">
            <w:pPr>
              <w:jc w:val="center"/>
            </w:pPr>
            <w:r w:rsidRPr="00123EBD">
              <w:t>226,12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CB5D61" w:rsidP="000210C1">
            <w:pPr>
              <w:jc w:val="center"/>
            </w:pPr>
            <w:r>
              <w:t>-13,06%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CB5D61" w:rsidP="000210C1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306845" w:rsidRPr="00D319CB" w:rsidRDefault="00CB5D61" w:rsidP="000210C1">
            <w:pPr>
              <w:jc w:val="center"/>
            </w:pPr>
            <w:r>
              <w:t>-1,13%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CB5D61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353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R$ 132.540.078,63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179,13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CB5D61" w:rsidP="000D4DFF">
            <w:pPr>
              <w:jc w:val="center"/>
            </w:pPr>
            <w:r>
              <w:t>-3,98%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CB5D61" w:rsidP="000D4DFF">
            <w:pPr>
              <w:jc w:val="center"/>
            </w:pPr>
            <w:r>
              <w:t>2,92%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CB5D61" w:rsidP="000D4DFF">
            <w:pPr>
              <w:jc w:val="center"/>
            </w:pPr>
            <w:r>
              <w:t>-6,90</w:t>
            </w:r>
            <w:bookmarkStart w:id="0" w:name="_GoBack"/>
            <w:bookmarkEnd w:id="0"/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449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R$ 193.798.169,34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207,06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50,54%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31,58%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18,95%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206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R$ 67.119.721,61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137,55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7,39%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15,03%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-7,64%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243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R$ 79.518.637,28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128,08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43,19%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26,86%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16,33%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60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R$ 2.205.751,69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89,45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18,21%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38,94%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123EBD" w:rsidP="000D4DFF">
            <w:pPr>
              <w:jc w:val="center"/>
            </w:pPr>
            <w:r w:rsidRPr="00D319CB">
              <w:t>-20,73%</w:t>
            </w:r>
          </w:p>
        </w:tc>
      </w:tr>
      <w:tr w:rsidR="00123EBD" w:rsidRPr="003D631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123EBD" w:rsidRPr="003D6317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123EBD" w:rsidRPr="003D631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123EBD" w:rsidRPr="003D6317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 w:rsidRPr="007547CD">
              <w:rPr>
                <w:sz w:val="20"/>
                <w:szCs w:val="20"/>
              </w:rPr>
              <w:t>16.617.446/0001-08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123EBD" w:rsidRPr="003D6317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3EBD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47CD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D62E3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5D61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939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6</cp:revision>
  <cp:lastPrinted>2016-03-23T21:20:00Z</cp:lastPrinted>
  <dcterms:created xsi:type="dcterms:W3CDTF">2020-09-18T12:41:00Z</dcterms:created>
  <dcterms:modified xsi:type="dcterms:W3CDTF">2022-02-14T17:08:00Z</dcterms:modified>
</cp:coreProperties>
</file>